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36C0F" w14:textId="5E738BF1" w:rsidR="004D61C5" w:rsidRPr="008B429A" w:rsidRDefault="007876C9">
      <w:pPr>
        <w:rPr>
          <w:b/>
          <w:bCs/>
          <w:sz w:val="28"/>
          <w:szCs w:val="28"/>
          <w:lang w:val="nl-BE"/>
        </w:rPr>
      </w:pPr>
      <w:r w:rsidRPr="008B429A">
        <w:rPr>
          <w:b/>
          <w:bCs/>
          <w:sz w:val="28"/>
          <w:szCs w:val="28"/>
          <w:lang w:val="nl-BE"/>
        </w:rPr>
        <w:t>Omzettingswerkzaamheden</w:t>
      </w:r>
    </w:p>
    <w:p w14:paraId="6FEBBDB3" w14:textId="77777777" w:rsidR="007876C9" w:rsidRPr="008B429A" w:rsidRDefault="007876C9">
      <w:pPr>
        <w:rPr>
          <w:b/>
          <w:bCs/>
          <w:lang w:val="nl-BE"/>
        </w:rPr>
      </w:pPr>
    </w:p>
    <w:p w14:paraId="055D0C18" w14:textId="77777777" w:rsidR="007876C9" w:rsidRPr="008B429A" w:rsidRDefault="007876C9">
      <w:pPr>
        <w:rPr>
          <w:b/>
          <w:bCs/>
          <w:lang w:val="nl-BE"/>
        </w:rPr>
      </w:pPr>
      <w:r w:rsidRPr="008B429A">
        <w:rPr>
          <w:b/>
          <w:bCs/>
          <w:lang w:val="nl-BE"/>
        </w:rPr>
        <w:t>Pilot</w:t>
      </w:r>
    </w:p>
    <w:p w14:paraId="4CCDD438" w14:textId="10220D18" w:rsidR="007876C9" w:rsidRPr="008B429A" w:rsidRDefault="007876C9">
      <w:pPr>
        <w:rPr>
          <w:lang w:val="nl-BE"/>
        </w:rPr>
      </w:pPr>
      <w:r w:rsidRPr="008B429A">
        <w:rPr>
          <w:lang w:val="nl-BE"/>
        </w:rPr>
        <w:t>FOD Justitie</w:t>
      </w:r>
    </w:p>
    <w:p w14:paraId="1E68F0C8" w14:textId="77777777" w:rsidR="007876C9" w:rsidRPr="008B429A" w:rsidRDefault="007876C9" w:rsidP="007876C9">
      <w:pPr>
        <w:rPr>
          <w:lang w:val="nl-BE"/>
        </w:rPr>
      </w:pPr>
      <w:r w:rsidRPr="008B429A">
        <w:rPr>
          <w:lang w:val="nl-BE"/>
        </w:rPr>
        <w:t>Contactpersoon: Lorena Weyckmans (lorena.weyckmans@just.fgov.be)</w:t>
      </w:r>
    </w:p>
    <w:p w14:paraId="344F9913" w14:textId="77777777" w:rsidR="007876C9" w:rsidRPr="008B429A" w:rsidRDefault="007876C9">
      <w:pPr>
        <w:rPr>
          <w:lang w:val="nl-BE"/>
        </w:rPr>
      </w:pPr>
    </w:p>
    <w:p w14:paraId="5A89AE85" w14:textId="24DE572E" w:rsidR="007876C9" w:rsidRPr="008B429A" w:rsidRDefault="007876C9">
      <w:pPr>
        <w:rPr>
          <w:b/>
          <w:bCs/>
          <w:lang w:val="nl-BE"/>
        </w:rPr>
      </w:pPr>
      <w:r w:rsidRPr="008B429A">
        <w:rPr>
          <w:b/>
          <w:bCs/>
          <w:lang w:val="nl-BE"/>
        </w:rPr>
        <w:t>Werkwijze (meegedeeld door FOD Justitie)</w:t>
      </w:r>
    </w:p>
    <w:p w14:paraId="59F23701" w14:textId="77777777" w:rsidR="007876C9" w:rsidRPr="008B429A" w:rsidRDefault="007876C9" w:rsidP="007876C9">
      <w:pPr>
        <w:rPr>
          <w:lang w:val="nl-BE"/>
        </w:rPr>
      </w:pPr>
      <w:r w:rsidRPr="008B429A">
        <w:rPr>
          <w:rFonts w:ascii="Times New Roman" w:hAnsi="Times New Roman" w:cs="Times New Roman"/>
          <w:color w:val="1F4E79"/>
          <w:lang w:val="nl-BE"/>
        </w:rPr>
        <w:t>Wat de Belgische kalender betreft, bestaat er geen formele kalender met vaste data voor de verschillende fasen, maar dit zijn de belangrijkste elementen van onze huidige aanpak:</w:t>
      </w:r>
    </w:p>
    <w:p w14:paraId="3C3512F5" w14:textId="77777777" w:rsidR="007876C9" w:rsidRPr="008B429A" w:rsidRDefault="007876C9" w:rsidP="007876C9">
      <w:pPr>
        <w:numPr>
          <w:ilvl w:val="0"/>
          <w:numId w:val="1"/>
        </w:numPr>
        <w:spacing w:after="0" w:line="240" w:lineRule="auto"/>
        <w:rPr>
          <w:rFonts w:eastAsia="Times New Roman"/>
          <w:color w:val="1F4E79"/>
          <w:lang w:val="nl-BE"/>
        </w:rPr>
      </w:pPr>
      <w:r w:rsidRPr="008B429A">
        <w:rPr>
          <w:rFonts w:ascii="Times New Roman" w:eastAsia="Times New Roman" w:hAnsi="Times New Roman" w:cs="Times New Roman"/>
          <w:b/>
          <w:bCs/>
          <w:color w:val="1F4E79"/>
          <w:lang w:val="nl-BE"/>
        </w:rPr>
        <w:t xml:space="preserve">Werkwijze: </w:t>
      </w:r>
      <w:r w:rsidRPr="008B429A">
        <w:rPr>
          <w:rFonts w:ascii="Times New Roman" w:eastAsia="Times New Roman" w:hAnsi="Times New Roman" w:cs="Times New Roman"/>
          <w:color w:val="1F4E79"/>
          <w:lang w:val="nl-BE"/>
        </w:rPr>
        <w:t xml:space="preserve">We werken momenteel via een proces van </w:t>
      </w:r>
      <w:proofErr w:type="spellStart"/>
      <w:r w:rsidRPr="008B429A">
        <w:rPr>
          <w:rFonts w:ascii="Times New Roman" w:eastAsia="Times New Roman" w:hAnsi="Times New Roman" w:cs="Times New Roman"/>
          <w:b/>
          <w:bCs/>
          <w:color w:val="1F4E79"/>
          <w:lang w:val="nl-BE"/>
        </w:rPr>
        <w:t>interinstitutionele</w:t>
      </w:r>
      <w:proofErr w:type="spellEnd"/>
      <w:r w:rsidRPr="008B429A">
        <w:rPr>
          <w:rFonts w:ascii="Times New Roman" w:eastAsia="Times New Roman" w:hAnsi="Times New Roman" w:cs="Times New Roman"/>
          <w:b/>
          <w:bCs/>
          <w:color w:val="1F4E79"/>
          <w:lang w:val="nl-BE"/>
        </w:rPr>
        <w:t xml:space="preserve"> en intergouvernementele overleg </w:t>
      </w:r>
      <w:r w:rsidRPr="008B429A">
        <w:rPr>
          <w:rFonts w:ascii="Times New Roman" w:eastAsia="Times New Roman" w:hAnsi="Times New Roman" w:cs="Times New Roman"/>
          <w:color w:val="1F4E79"/>
          <w:lang w:val="nl-BE"/>
        </w:rPr>
        <w:t xml:space="preserve">(federaal, gewesten en gemeenschappen). De verschillende bestuursniveaus en beleidsterreinen voeren hun interne analyses uit. We hebben een </w:t>
      </w:r>
      <w:r w:rsidRPr="008B429A">
        <w:rPr>
          <w:rFonts w:ascii="Times New Roman" w:eastAsia="Times New Roman" w:hAnsi="Times New Roman" w:cs="Times New Roman"/>
          <w:b/>
          <w:bCs/>
          <w:color w:val="1F4E79"/>
          <w:lang w:val="nl-BE"/>
        </w:rPr>
        <w:t xml:space="preserve">Teams-kanaal </w:t>
      </w:r>
      <w:r w:rsidRPr="008B429A">
        <w:rPr>
          <w:rFonts w:ascii="Times New Roman" w:eastAsia="Times New Roman" w:hAnsi="Times New Roman" w:cs="Times New Roman"/>
          <w:color w:val="1F4E79"/>
          <w:lang w:val="nl-BE"/>
        </w:rPr>
        <w:t xml:space="preserve">waarop ik alle relevante documenten en een interactieve bevoegdheidstabel heb geplaatst: elke actor moet zijn bevoegdheid in de tabel aangeven, aangezien ik niet de kans of de pretentie heb om alles te weten. </w:t>
      </w:r>
    </w:p>
    <w:p w14:paraId="5B250291" w14:textId="77777777" w:rsidR="007876C9" w:rsidRPr="008B429A" w:rsidRDefault="007876C9" w:rsidP="007876C9">
      <w:pPr>
        <w:numPr>
          <w:ilvl w:val="0"/>
          <w:numId w:val="1"/>
        </w:numPr>
        <w:spacing w:after="0" w:line="240" w:lineRule="auto"/>
        <w:rPr>
          <w:rFonts w:eastAsia="Times New Roman"/>
          <w:color w:val="1F4E79"/>
          <w:lang w:val="nl-BE"/>
        </w:rPr>
      </w:pPr>
      <w:r w:rsidRPr="008B429A">
        <w:rPr>
          <w:rFonts w:ascii="Times New Roman" w:eastAsia="Times New Roman" w:hAnsi="Times New Roman" w:cs="Times New Roman"/>
          <w:b/>
          <w:bCs/>
          <w:color w:val="1F4E79"/>
          <w:lang w:val="nl-BE"/>
        </w:rPr>
        <w:t xml:space="preserve">Coördinatie en validatie: </w:t>
      </w:r>
      <w:r w:rsidRPr="008B429A">
        <w:rPr>
          <w:rFonts w:ascii="Times New Roman" w:eastAsia="Times New Roman" w:hAnsi="Times New Roman" w:cs="Times New Roman"/>
          <w:color w:val="1F4E79"/>
          <w:lang w:val="nl-BE"/>
        </w:rPr>
        <w:t xml:space="preserve">Het doel is om de analyses van de verschillende bestuursniveaus te consolideren en de mogelijke lacunes in het Belgische recht op te sommen. Deze fase is momenteel aan de gang en verloopt via </w:t>
      </w:r>
      <w:r w:rsidRPr="008B429A">
        <w:rPr>
          <w:rFonts w:ascii="Times New Roman" w:eastAsia="Times New Roman" w:hAnsi="Times New Roman" w:cs="Times New Roman"/>
          <w:b/>
          <w:bCs/>
          <w:color w:val="1F4E79"/>
          <w:lang w:val="nl-BE"/>
        </w:rPr>
        <w:t xml:space="preserve">coördinatie </w:t>
      </w:r>
      <w:r w:rsidRPr="008B429A">
        <w:rPr>
          <w:rFonts w:ascii="Times New Roman" w:eastAsia="Times New Roman" w:hAnsi="Times New Roman" w:cs="Times New Roman"/>
          <w:color w:val="1F4E79"/>
          <w:lang w:val="nl-BE"/>
        </w:rPr>
        <w:t xml:space="preserve">per brief en </w:t>
      </w:r>
      <w:r w:rsidRPr="008B429A">
        <w:rPr>
          <w:rFonts w:ascii="Times New Roman" w:eastAsia="Times New Roman" w:hAnsi="Times New Roman" w:cs="Times New Roman"/>
          <w:b/>
          <w:bCs/>
          <w:color w:val="1F4E79"/>
          <w:lang w:val="nl-BE"/>
        </w:rPr>
        <w:t>werkvergaderingen, uitsluitend op verzoek</w:t>
      </w:r>
      <w:r w:rsidRPr="008B429A">
        <w:rPr>
          <w:rFonts w:ascii="Times New Roman" w:eastAsia="Times New Roman" w:hAnsi="Times New Roman" w:cs="Times New Roman"/>
          <w:color w:val="1F4E79"/>
          <w:lang w:val="nl-BE"/>
        </w:rPr>
        <w:t>. Ik ben namelijk het contactpunt voor de omzetting, maar ik houd er geen toezicht op: ik heb geen gezag en kan mijn collega's van andere overheidsinstellingen geen tijdschema opleggen. Het is aan hen om aan de omzetting te werken en contact met mij op te nemen als ze vragen hebben.</w:t>
      </w:r>
    </w:p>
    <w:p w14:paraId="35E04C0B" w14:textId="77777777" w:rsidR="007876C9" w:rsidRPr="008B429A" w:rsidRDefault="007876C9" w:rsidP="007876C9">
      <w:pPr>
        <w:numPr>
          <w:ilvl w:val="0"/>
          <w:numId w:val="1"/>
        </w:numPr>
        <w:spacing w:after="0" w:line="240" w:lineRule="auto"/>
        <w:rPr>
          <w:rFonts w:eastAsia="Times New Roman"/>
          <w:color w:val="1F4E79"/>
          <w:lang w:val="nl-BE"/>
        </w:rPr>
      </w:pPr>
      <w:r w:rsidRPr="008B429A">
        <w:rPr>
          <w:rFonts w:ascii="Times New Roman" w:eastAsia="Times New Roman" w:hAnsi="Times New Roman" w:cs="Times New Roman"/>
          <w:b/>
          <w:bCs/>
          <w:color w:val="1F4E79"/>
          <w:lang w:val="nl-BE"/>
        </w:rPr>
        <w:t xml:space="preserve">Uiterste datum voor Europese omzetting: </w:t>
      </w:r>
      <w:r w:rsidRPr="008B429A">
        <w:rPr>
          <w:rFonts w:ascii="Times New Roman" w:eastAsia="Times New Roman" w:hAnsi="Times New Roman" w:cs="Times New Roman"/>
          <w:color w:val="1F4E79"/>
          <w:lang w:val="nl-BE"/>
        </w:rPr>
        <w:t>De uiterste datum voor de omzetting is vastgesteld op</w:t>
      </w:r>
      <w:r w:rsidRPr="008B429A">
        <w:rPr>
          <w:rFonts w:ascii="Times New Roman" w:eastAsia="Times New Roman" w:hAnsi="Times New Roman" w:cs="Times New Roman"/>
          <w:b/>
          <w:bCs/>
          <w:color w:val="1F4E79"/>
          <w:lang w:val="nl-BE"/>
        </w:rPr>
        <w:t xml:space="preserve"> 2027</w:t>
      </w:r>
      <w:r w:rsidRPr="008B429A">
        <w:rPr>
          <w:rFonts w:ascii="Times New Roman" w:eastAsia="Times New Roman" w:hAnsi="Times New Roman" w:cs="Times New Roman"/>
          <w:color w:val="1F4E79"/>
          <w:lang w:val="nl-BE"/>
        </w:rPr>
        <w:t>. Gewoonlijk vraagt de Commissie om een omzettingstabel in te dienen (die sterk lijkt op de tabel die op het Teams-kanaal wordt gebruikt) om aan te tonen dat het werk is voltooid. U bent dus verantwoordelijk voor de omzetting en uw enige verplichting is om mij uw vorderingen via de tabel of per brief mee te delen.</w:t>
      </w:r>
    </w:p>
    <w:p w14:paraId="78D213E4" w14:textId="77777777" w:rsidR="007876C9" w:rsidRPr="008B429A" w:rsidRDefault="007876C9" w:rsidP="007876C9">
      <w:pPr>
        <w:numPr>
          <w:ilvl w:val="0"/>
          <w:numId w:val="1"/>
        </w:numPr>
        <w:spacing w:after="0" w:line="240" w:lineRule="auto"/>
        <w:rPr>
          <w:rFonts w:eastAsia="Times New Roman"/>
          <w:color w:val="1F4E79"/>
          <w:lang w:val="nl-BE"/>
        </w:rPr>
      </w:pPr>
      <w:r w:rsidRPr="008B429A">
        <w:rPr>
          <w:rFonts w:ascii="Times New Roman" w:eastAsia="Times New Roman" w:hAnsi="Times New Roman" w:cs="Times New Roman"/>
          <w:b/>
          <w:bCs/>
          <w:color w:val="1F4E79"/>
          <w:lang w:val="nl-BE"/>
        </w:rPr>
        <w:t xml:space="preserve">Workshops van de Europese Commissie: </w:t>
      </w:r>
      <w:r w:rsidRPr="008B429A">
        <w:rPr>
          <w:rFonts w:ascii="Times New Roman" w:eastAsia="Times New Roman" w:hAnsi="Times New Roman" w:cs="Times New Roman"/>
          <w:color w:val="1F4E79"/>
          <w:lang w:val="nl-BE"/>
        </w:rPr>
        <w:t xml:space="preserve">Wij nemen ook deel aan de workshops van de Commissie. De </w:t>
      </w:r>
      <w:r w:rsidRPr="008B429A">
        <w:rPr>
          <w:rFonts w:ascii="Times New Roman" w:eastAsia="Times New Roman" w:hAnsi="Times New Roman" w:cs="Times New Roman"/>
          <w:b/>
          <w:bCs/>
          <w:color w:val="1F4E79"/>
          <w:lang w:val="nl-BE"/>
        </w:rPr>
        <w:t xml:space="preserve">tweede workshop </w:t>
      </w:r>
      <w:r w:rsidRPr="008B429A">
        <w:rPr>
          <w:rFonts w:ascii="Times New Roman" w:eastAsia="Times New Roman" w:hAnsi="Times New Roman" w:cs="Times New Roman"/>
          <w:color w:val="1F4E79"/>
          <w:lang w:val="nl-BE"/>
        </w:rPr>
        <w:t>is gepland op</w:t>
      </w:r>
      <w:r w:rsidRPr="008B429A">
        <w:rPr>
          <w:rFonts w:ascii="Times New Roman" w:eastAsia="Times New Roman" w:hAnsi="Times New Roman" w:cs="Times New Roman"/>
          <w:b/>
          <w:bCs/>
          <w:color w:val="1F4E79"/>
          <w:lang w:val="nl-BE"/>
        </w:rPr>
        <w:t xml:space="preserve"> 29 oktober 2025 </w:t>
      </w:r>
      <w:r w:rsidRPr="008B429A">
        <w:rPr>
          <w:rFonts w:ascii="Times New Roman" w:eastAsia="Times New Roman" w:hAnsi="Times New Roman" w:cs="Times New Roman"/>
          <w:color w:val="1F4E79"/>
          <w:lang w:val="nl-BE"/>
        </w:rPr>
        <w:t>en zal gaan over cybercriminaliteit en seksuele uitbuiting (hoofdstuk 2).</w:t>
      </w:r>
    </w:p>
    <w:p w14:paraId="2E520020" w14:textId="77777777" w:rsidR="007876C9" w:rsidRPr="008B429A" w:rsidRDefault="007876C9" w:rsidP="007876C9">
      <w:pPr>
        <w:rPr>
          <w:lang w:val="nl-BE"/>
        </w:rPr>
      </w:pPr>
    </w:p>
    <w:p w14:paraId="64AAAEA1" w14:textId="42C28FDE" w:rsidR="007876C9" w:rsidRPr="008B429A" w:rsidRDefault="008623F2" w:rsidP="002A59A5">
      <w:pPr>
        <w:spacing w:after="0"/>
        <w:rPr>
          <w:b/>
          <w:bCs/>
          <w:lang w:val="nl-BE"/>
        </w:rPr>
      </w:pPr>
      <w:r w:rsidRPr="008B429A">
        <w:rPr>
          <w:b/>
          <w:bCs/>
          <w:lang w:val="nl-BE"/>
        </w:rPr>
        <w:br w:type="page"/>
      </w:r>
      <w:r w:rsidR="007876C9" w:rsidRPr="008B429A">
        <w:rPr>
          <w:b/>
          <w:bCs/>
          <w:lang w:val="nl-BE"/>
        </w:rPr>
        <w:lastRenderedPageBreak/>
        <w:t>Artikelen over personen met een handicap</w:t>
      </w:r>
    </w:p>
    <w:p w14:paraId="6D56D664" w14:textId="77777777" w:rsidR="002A59A5" w:rsidRPr="008B429A" w:rsidRDefault="002A59A5" w:rsidP="002A59A5">
      <w:pPr>
        <w:spacing w:after="0"/>
        <w:rPr>
          <w:b/>
          <w:bCs/>
          <w:lang w:val="nl-BE"/>
        </w:rPr>
      </w:pPr>
    </w:p>
    <w:p w14:paraId="049739FD" w14:textId="14F0923B" w:rsidR="007876C9" w:rsidRPr="008B429A" w:rsidRDefault="007876C9" w:rsidP="002A59A5">
      <w:pPr>
        <w:spacing w:after="0" w:line="240" w:lineRule="auto"/>
        <w:jc w:val="both"/>
        <w:rPr>
          <w:lang w:val="nl-BE"/>
        </w:rPr>
      </w:pPr>
      <w:r w:rsidRPr="008B429A">
        <w:rPr>
          <w:lang w:val="nl-BE"/>
        </w:rPr>
        <w:t xml:space="preserve">ARTIKEL 11: </w:t>
      </w:r>
      <w:r w:rsidR="00065DF3" w:rsidRPr="008B429A">
        <w:rPr>
          <w:lang w:val="nl-BE"/>
        </w:rPr>
        <w:t>verzwarende</w:t>
      </w:r>
      <w:r w:rsidRPr="008B429A">
        <w:rPr>
          <w:lang w:val="nl-BE"/>
        </w:rPr>
        <w:t xml:space="preserve"> omstandigheden voor misdrijven gepleegd tegen personen met een handicap</w:t>
      </w:r>
    </w:p>
    <w:p w14:paraId="787ABFEA" w14:textId="158DA670" w:rsidR="002A59A5" w:rsidRPr="002A59A5" w:rsidRDefault="002A59A5" w:rsidP="002A59A5">
      <w:pPr>
        <w:spacing w:after="0" w:line="240" w:lineRule="auto"/>
        <w:jc w:val="both"/>
        <w:rPr>
          <w:i/>
          <w:iCs/>
          <w:color w:val="0F9ED5" w:themeColor="accent4"/>
          <w:lang w:val="nl-BE"/>
        </w:rPr>
      </w:pPr>
    </w:p>
    <w:p w14:paraId="6F8A108B" w14:textId="77777777" w:rsidR="002A59A5" w:rsidRPr="002A59A5" w:rsidRDefault="002A59A5" w:rsidP="002A59A5">
      <w:pPr>
        <w:spacing w:after="0" w:line="240" w:lineRule="auto"/>
        <w:jc w:val="both"/>
        <w:rPr>
          <w:i/>
          <w:iCs/>
          <w:lang w:val="nl-BE"/>
        </w:rPr>
      </w:pPr>
    </w:p>
    <w:p w14:paraId="36E912E1" w14:textId="77777777" w:rsidR="002A59A5" w:rsidRPr="008B429A" w:rsidRDefault="007876C9" w:rsidP="002A59A5">
      <w:pPr>
        <w:spacing w:after="0" w:line="240" w:lineRule="auto"/>
        <w:jc w:val="both"/>
        <w:rPr>
          <w:lang w:val="nl-BE"/>
        </w:rPr>
      </w:pPr>
      <w:r w:rsidRPr="008B429A">
        <w:rPr>
          <w:lang w:val="nl-BE"/>
        </w:rPr>
        <w:t>ARTIKEL 21, onder e): richtsnoeren voor wetshandhavingsinstanties en gerechtelijke autoriteiten over de behandeling van slachtoffers, met name rekening houdend met handicaps</w:t>
      </w:r>
    </w:p>
    <w:p w14:paraId="3898487F" w14:textId="7636C4FD" w:rsidR="007876C9" w:rsidRPr="002A59A5" w:rsidRDefault="007876C9" w:rsidP="002A59A5">
      <w:pPr>
        <w:spacing w:after="0" w:line="240" w:lineRule="auto"/>
        <w:jc w:val="both"/>
        <w:rPr>
          <w:i/>
          <w:iCs/>
          <w:color w:val="0F9ED5" w:themeColor="accent4"/>
          <w:lang w:val="nl-BE"/>
        </w:rPr>
      </w:pPr>
    </w:p>
    <w:p w14:paraId="773E3ABF" w14:textId="77777777" w:rsidR="002A59A5" w:rsidRPr="002A59A5" w:rsidRDefault="002A59A5" w:rsidP="002A59A5">
      <w:pPr>
        <w:spacing w:after="0" w:line="240" w:lineRule="auto"/>
        <w:jc w:val="both"/>
        <w:rPr>
          <w:lang w:val="nl-BE"/>
        </w:rPr>
      </w:pPr>
    </w:p>
    <w:p w14:paraId="452202B5" w14:textId="3E7270E0" w:rsidR="007876C9" w:rsidRPr="008B429A" w:rsidRDefault="007876C9" w:rsidP="002A59A5">
      <w:pPr>
        <w:spacing w:after="0" w:line="240" w:lineRule="auto"/>
        <w:jc w:val="both"/>
        <w:rPr>
          <w:lang w:val="nl-BE"/>
        </w:rPr>
      </w:pPr>
      <w:r w:rsidRPr="008B429A">
        <w:rPr>
          <w:lang w:val="nl-BE"/>
        </w:rPr>
        <w:t>ARTIKEL 29, lid 2: toegankelijkheid van hulplijnen voor slachtoffers met een handicap</w:t>
      </w:r>
    </w:p>
    <w:p w14:paraId="6A3691C7" w14:textId="2E3027DB" w:rsidR="002A59A5" w:rsidRDefault="002A59A5" w:rsidP="002A59A5">
      <w:pPr>
        <w:spacing w:after="0" w:line="240" w:lineRule="auto"/>
        <w:jc w:val="both"/>
        <w:rPr>
          <w:i/>
          <w:iCs/>
          <w:color w:val="0F9ED5" w:themeColor="accent4"/>
          <w:lang w:val="nl-BE"/>
        </w:rPr>
      </w:pPr>
    </w:p>
    <w:p w14:paraId="18E7813E" w14:textId="77777777" w:rsidR="002A59A5" w:rsidRPr="002A59A5" w:rsidRDefault="002A59A5" w:rsidP="002A59A5">
      <w:pPr>
        <w:spacing w:after="0" w:line="240" w:lineRule="auto"/>
        <w:jc w:val="both"/>
        <w:rPr>
          <w:i/>
          <w:iCs/>
          <w:color w:val="0F9ED5" w:themeColor="accent4"/>
          <w:lang w:val="nl-BE"/>
        </w:rPr>
      </w:pPr>
    </w:p>
    <w:p w14:paraId="44CEBA09" w14:textId="2E1D2526" w:rsidR="007876C9" w:rsidRPr="008B429A" w:rsidRDefault="007876C9" w:rsidP="002A59A5">
      <w:pPr>
        <w:spacing w:after="0" w:line="240" w:lineRule="auto"/>
        <w:jc w:val="both"/>
        <w:rPr>
          <w:lang w:val="nl-BE"/>
        </w:rPr>
      </w:pPr>
      <w:r w:rsidRPr="008B429A">
        <w:rPr>
          <w:lang w:val="nl-BE"/>
        </w:rPr>
        <w:t>ARTIKEL 33, lid 2: hulpverlening</w:t>
      </w:r>
      <w:r w:rsidR="008623F2" w:rsidRPr="008B429A">
        <w:rPr>
          <w:lang w:val="nl-BE"/>
        </w:rPr>
        <w:t xml:space="preserve"> garanderen voor </w:t>
      </w:r>
      <w:r w:rsidRPr="008B429A">
        <w:rPr>
          <w:lang w:val="nl-BE"/>
        </w:rPr>
        <w:t xml:space="preserve">slachtoffers </w:t>
      </w:r>
      <w:r w:rsidR="008623F2" w:rsidRPr="008B429A">
        <w:rPr>
          <w:lang w:val="nl-BE"/>
        </w:rPr>
        <w:t xml:space="preserve">met </w:t>
      </w:r>
      <w:proofErr w:type="spellStart"/>
      <w:r w:rsidR="008623F2" w:rsidRPr="008B429A">
        <w:rPr>
          <w:lang w:val="nl-BE"/>
        </w:rPr>
        <w:t>intersectionele</w:t>
      </w:r>
      <w:proofErr w:type="spellEnd"/>
      <w:r w:rsidR="008623F2" w:rsidRPr="008B429A">
        <w:rPr>
          <w:lang w:val="nl-BE"/>
        </w:rPr>
        <w:t xml:space="preserve"> behoeften, waaronder een handicap</w:t>
      </w:r>
    </w:p>
    <w:p w14:paraId="6BAABF58" w14:textId="77777777" w:rsidR="002A59A5" w:rsidRPr="002A59A5" w:rsidRDefault="002A59A5" w:rsidP="002A59A5">
      <w:pPr>
        <w:spacing w:after="0" w:line="240" w:lineRule="auto"/>
        <w:jc w:val="both"/>
        <w:rPr>
          <w:lang w:val="nl-BE"/>
        </w:rPr>
      </w:pPr>
    </w:p>
    <w:p w14:paraId="06B5B67D" w14:textId="77777777" w:rsidR="008623F2" w:rsidRPr="008B429A" w:rsidRDefault="008623F2" w:rsidP="002A59A5">
      <w:pPr>
        <w:spacing w:after="0" w:line="240" w:lineRule="auto"/>
        <w:jc w:val="both"/>
        <w:rPr>
          <w:lang w:val="nl-BE"/>
        </w:rPr>
      </w:pPr>
      <w:r w:rsidRPr="008B429A">
        <w:rPr>
          <w:lang w:val="nl-BE"/>
        </w:rPr>
        <w:t xml:space="preserve">ARTIKEL 34, lid 4: </w:t>
      </w:r>
      <w:r w:rsidR="007876C9" w:rsidRPr="008B429A">
        <w:rPr>
          <w:lang w:val="nl-BE"/>
        </w:rPr>
        <w:t xml:space="preserve">preventieve maatregelen </w:t>
      </w:r>
      <w:r w:rsidRPr="008B429A">
        <w:rPr>
          <w:lang w:val="nl-BE"/>
        </w:rPr>
        <w:t xml:space="preserve">die toegankelijk zijn </w:t>
      </w:r>
      <w:r w:rsidR="007876C9" w:rsidRPr="008B429A">
        <w:rPr>
          <w:lang w:val="nl-BE"/>
        </w:rPr>
        <w:t>voor personen met een handicap</w:t>
      </w:r>
    </w:p>
    <w:p w14:paraId="53B0948A" w14:textId="0875BF79" w:rsidR="002A59A5" w:rsidRPr="002A59A5" w:rsidRDefault="002A59A5" w:rsidP="002A59A5">
      <w:pPr>
        <w:spacing w:after="0" w:line="240" w:lineRule="auto"/>
        <w:jc w:val="both"/>
        <w:rPr>
          <w:i/>
          <w:iCs/>
          <w:color w:val="0F9ED5" w:themeColor="accent4"/>
          <w:lang w:val="nl-BE"/>
        </w:rPr>
      </w:pPr>
    </w:p>
    <w:p w14:paraId="6F9A3DE5" w14:textId="77777777" w:rsidR="002A59A5" w:rsidRPr="002A59A5" w:rsidRDefault="002A59A5" w:rsidP="002A59A5">
      <w:pPr>
        <w:spacing w:after="0" w:line="240" w:lineRule="auto"/>
        <w:jc w:val="both"/>
        <w:rPr>
          <w:lang w:val="nl-BE"/>
        </w:rPr>
      </w:pPr>
    </w:p>
    <w:p w14:paraId="32A6EF2F" w14:textId="0455E771" w:rsidR="008623F2" w:rsidRPr="008B429A" w:rsidRDefault="008623F2" w:rsidP="002A59A5">
      <w:pPr>
        <w:spacing w:after="0" w:line="240" w:lineRule="auto"/>
        <w:jc w:val="both"/>
        <w:rPr>
          <w:lang w:val="nl-BE"/>
        </w:rPr>
      </w:pPr>
      <w:r w:rsidRPr="008B429A">
        <w:rPr>
          <w:lang w:val="nl-BE"/>
        </w:rPr>
        <w:t xml:space="preserve">ARTIKEL 36, lid 3: </w:t>
      </w:r>
      <w:r w:rsidR="007876C9" w:rsidRPr="008B429A">
        <w:rPr>
          <w:lang w:val="nl-BE"/>
        </w:rPr>
        <w:t xml:space="preserve">op mensenrechten gebaseerde opleiding die rekening houdt met gender- </w:t>
      </w:r>
      <w:r w:rsidRPr="008B429A">
        <w:rPr>
          <w:lang w:val="nl-BE"/>
        </w:rPr>
        <w:t xml:space="preserve">en </w:t>
      </w:r>
      <w:r w:rsidR="007876C9" w:rsidRPr="008B429A">
        <w:rPr>
          <w:lang w:val="nl-BE"/>
        </w:rPr>
        <w:t xml:space="preserve">handicapkwesties </w:t>
      </w:r>
      <w:r w:rsidRPr="008B429A">
        <w:rPr>
          <w:lang w:val="nl-BE"/>
        </w:rPr>
        <w:t>voor justitiële diensten</w:t>
      </w:r>
    </w:p>
    <w:p w14:paraId="1262ACB2" w14:textId="77777777" w:rsidR="002A59A5" w:rsidRDefault="002A59A5" w:rsidP="002A59A5">
      <w:pPr>
        <w:spacing w:after="0" w:line="240" w:lineRule="auto"/>
        <w:jc w:val="both"/>
        <w:rPr>
          <w:lang w:val="nl-BE"/>
        </w:rPr>
      </w:pPr>
    </w:p>
    <w:p w14:paraId="1D929E6B" w14:textId="77777777" w:rsidR="008B429A" w:rsidRPr="00677055" w:rsidRDefault="008B429A" w:rsidP="002A59A5">
      <w:pPr>
        <w:spacing w:after="0" w:line="240" w:lineRule="auto"/>
        <w:jc w:val="both"/>
        <w:rPr>
          <w:lang w:val="nl-BE"/>
        </w:rPr>
      </w:pPr>
    </w:p>
    <w:p w14:paraId="143B78F2" w14:textId="77777777" w:rsidR="008623F2" w:rsidRPr="008623F2" w:rsidRDefault="008623F2" w:rsidP="008623F2">
      <w:pPr>
        <w:spacing w:after="0" w:line="360" w:lineRule="auto"/>
        <w:jc w:val="both"/>
        <w:rPr>
          <w:rFonts w:ascii="Aptos" w:eastAsia="Times New Roman" w:hAnsi="Aptos" w:cs="Times New Roman"/>
          <w:b/>
          <w:bCs/>
          <w:kern w:val="0"/>
          <w:sz w:val="22"/>
          <w:szCs w:val="22"/>
          <w:lang w:val="fr-FR" w:eastAsia="en-GB"/>
          <w14:ligatures w14:val="none"/>
        </w:rPr>
      </w:pPr>
      <w:proofErr w:type="gramStart"/>
      <w:r w:rsidRPr="008623F2">
        <w:rPr>
          <w:rFonts w:ascii="Aptos" w:eastAsia="Times New Roman" w:hAnsi="Aptos" w:cs="Times New Roman"/>
          <w:b/>
          <w:bCs/>
          <w:kern w:val="0"/>
          <w:sz w:val="22"/>
          <w:szCs w:val="22"/>
          <w:lang w:val="fr-FR" w:eastAsia="en-GB"/>
          <w14:ligatures w14:val="none"/>
        </w:rPr>
        <w:t>Omzettingstermijn:</w:t>
      </w:r>
      <w:proofErr w:type="gramEnd"/>
      <w:r w:rsidRPr="008623F2">
        <w:rPr>
          <w:rFonts w:ascii="Aptos" w:eastAsia="Times New Roman" w:hAnsi="Aptos" w:cs="Times New Roman"/>
          <w:b/>
          <w:bCs/>
          <w:kern w:val="0"/>
          <w:sz w:val="22"/>
          <w:szCs w:val="22"/>
          <w:lang w:val="fr-FR" w:eastAsia="en-GB"/>
          <w14:ligatures w14:val="none"/>
        </w:rPr>
        <w:t xml:space="preserve"> 14 juni 2027</w:t>
      </w:r>
    </w:p>
    <w:tbl>
      <w:tblPr>
        <w:tblStyle w:val="Grilledutableau"/>
        <w:tblW w:w="0" w:type="auto"/>
        <w:tblLook w:val="04A0" w:firstRow="1" w:lastRow="0" w:firstColumn="1" w:lastColumn="0" w:noHBand="0" w:noVBand="1"/>
      </w:tblPr>
      <w:tblGrid>
        <w:gridCol w:w="12950"/>
      </w:tblGrid>
      <w:tr w:rsidR="008623F2" w:rsidRPr="008B429A" w14:paraId="11EFEB7A" w14:textId="77777777" w:rsidTr="008623F2">
        <w:trPr>
          <w:trHeight w:val="300"/>
        </w:trPr>
        <w:tc>
          <w:tcPr>
            <w:tcW w:w="12950" w:type="dxa"/>
            <w:shd w:val="clear" w:color="auto" w:fill="FFF2CC"/>
          </w:tcPr>
          <w:p w14:paraId="489B8952" w14:textId="77777777" w:rsidR="008623F2" w:rsidRPr="008B429A" w:rsidRDefault="008623F2" w:rsidP="008623F2">
            <w:pPr>
              <w:jc w:val="both"/>
              <w:rPr>
                <w:rFonts w:ascii="Aptos" w:hAnsi="Aptos"/>
                <w:sz w:val="22"/>
                <w:szCs w:val="22"/>
                <w:lang w:val="nl-BE" w:eastAsia="en-GB"/>
              </w:rPr>
            </w:pPr>
            <w:r w:rsidRPr="008B429A">
              <w:rPr>
                <w:rFonts w:ascii="Aptos" w:hAnsi="Aptos"/>
                <w:sz w:val="22"/>
                <w:szCs w:val="22"/>
                <w:lang w:val="nl-BE" w:eastAsia="en-GB"/>
              </w:rPr>
              <w:t>Geel: artikelen/lid waarvoor omzetting vereist is voor alle lidstaten</w:t>
            </w:r>
          </w:p>
        </w:tc>
      </w:tr>
      <w:tr w:rsidR="008623F2" w:rsidRPr="008B429A" w14:paraId="1D83C822" w14:textId="77777777" w:rsidTr="008623F2">
        <w:trPr>
          <w:trHeight w:val="300"/>
        </w:trPr>
        <w:tc>
          <w:tcPr>
            <w:tcW w:w="12950" w:type="dxa"/>
            <w:shd w:val="clear" w:color="auto" w:fill="E2EFD9"/>
          </w:tcPr>
          <w:p w14:paraId="3C29753F" w14:textId="77777777" w:rsidR="008623F2" w:rsidRPr="008B429A" w:rsidRDefault="008623F2" w:rsidP="008623F2">
            <w:pPr>
              <w:jc w:val="both"/>
              <w:rPr>
                <w:rFonts w:ascii="Aptos" w:hAnsi="Aptos"/>
                <w:sz w:val="22"/>
                <w:szCs w:val="22"/>
                <w:lang w:val="nl-BE" w:eastAsia="en-GB"/>
              </w:rPr>
            </w:pPr>
            <w:r w:rsidRPr="008B429A">
              <w:rPr>
                <w:rFonts w:ascii="Aptos" w:hAnsi="Aptos"/>
                <w:sz w:val="22"/>
                <w:szCs w:val="22"/>
                <w:lang w:val="nl-BE" w:eastAsia="en-GB"/>
              </w:rPr>
              <w:t>Groen: artikelen/lid waar omzetting niet verplicht is (facultatief)</w:t>
            </w:r>
          </w:p>
        </w:tc>
      </w:tr>
      <w:tr w:rsidR="008623F2" w:rsidRPr="008B429A" w14:paraId="4449F929" w14:textId="77777777" w:rsidTr="00A841F7">
        <w:trPr>
          <w:trHeight w:val="300"/>
        </w:trPr>
        <w:tc>
          <w:tcPr>
            <w:tcW w:w="12950" w:type="dxa"/>
          </w:tcPr>
          <w:p w14:paraId="63A17673" w14:textId="77777777" w:rsidR="008623F2" w:rsidRPr="008B429A" w:rsidRDefault="008623F2" w:rsidP="008623F2">
            <w:pPr>
              <w:jc w:val="both"/>
              <w:rPr>
                <w:rFonts w:ascii="Aptos" w:hAnsi="Aptos"/>
                <w:sz w:val="22"/>
                <w:szCs w:val="22"/>
                <w:lang w:val="nl-BE" w:eastAsia="en-GB"/>
              </w:rPr>
            </w:pPr>
            <w:r w:rsidRPr="008B429A">
              <w:rPr>
                <w:rFonts w:ascii="Aptos" w:hAnsi="Aptos"/>
                <w:sz w:val="22"/>
                <w:szCs w:val="22"/>
                <w:lang w:val="nl-BE" w:eastAsia="en-GB"/>
              </w:rPr>
              <w:t>Wit: artikelen/lid waarvoor geen omzetting vereist is</w:t>
            </w:r>
          </w:p>
        </w:tc>
      </w:tr>
    </w:tbl>
    <w:p w14:paraId="5F3A0CB9" w14:textId="7BD38D5A" w:rsidR="00D31B59" w:rsidRPr="008B429A" w:rsidRDefault="00D31B59">
      <w:pPr>
        <w:rPr>
          <w:lang w:val="nl-BE"/>
        </w:rPr>
      </w:pPr>
    </w:p>
    <w:tbl>
      <w:tblPr>
        <w:tblStyle w:val="Grilledutableau"/>
        <w:tblpPr w:leftFromText="180" w:rightFromText="180" w:horzAnchor="margin" w:tblpXSpec="center" w:tblpY="-225"/>
        <w:tblW w:w="5665" w:type="pct"/>
        <w:tblLayout w:type="fixed"/>
        <w:tblLook w:val="04A0" w:firstRow="1" w:lastRow="0" w:firstColumn="1" w:lastColumn="0" w:noHBand="0" w:noVBand="1"/>
      </w:tblPr>
      <w:tblGrid>
        <w:gridCol w:w="1440"/>
        <w:gridCol w:w="3603"/>
        <w:gridCol w:w="3733"/>
        <w:gridCol w:w="3237"/>
        <w:gridCol w:w="968"/>
        <w:gridCol w:w="1673"/>
        <w:gridCol w:w="18"/>
      </w:tblGrid>
      <w:tr w:rsidR="00677055" w:rsidRPr="00A80046" w14:paraId="34716079" w14:textId="77777777" w:rsidTr="004D63F1">
        <w:trPr>
          <w:trHeight w:val="300"/>
        </w:trPr>
        <w:tc>
          <w:tcPr>
            <w:tcW w:w="1719" w:type="pct"/>
            <w:gridSpan w:val="2"/>
            <w:shd w:val="clear" w:color="auto" w:fill="C1E4F5" w:themeFill="accent1" w:themeFillTint="33"/>
            <w:vAlign w:val="center"/>
          </w:tcPr>
          <w:p w14:paraId="4B3A9AFB" w14:textId="77777777" w:rsidR="00677055" w:rsidRPr="00F74F55" w:rsidRDefault="00677055" w:rsidP="004D63F1">
            <w:pPr>
              <w:spacing w:line="240" w:lineRule="auto"/>
              <w:jc w:val="center"/>
              <w:rPr>
                <w:rFonts w:ascii="Aptos" w:hAnsi="Aptos"/>
                <w:b/>
                <w:bCs/>
                <w:sz w:val="22"/>
                <w:szCs w:val="22"/>
                <w:lang w:val="en-GB" w:eastAsia="en-GB"/>
              </w:rPr>
            </w:pPr>
            <w:proofErr w:type="spellStart"/>
            <w:r w:rsidRPr="00F74F55">
              <w:rPr>
                <w:rFonts w:ascii="Aptos" w:hAnsi="Aptos"/>
                <w:b/>
                <w:bCs/>
                <w:sz w:val="22"/>
                <w:szCs w:val="22"/>
                <w:lang w:val="en-GB" w:eastAsia="en-GB"/>
              </w:rPr>
              <w:lastRenderedPageBreak/>
              <w:t>Richtlijn</w:t>
            </w:r>
            <w:proofErr w:type="spellEnd"/>
          </w:p>
        </w:tc>
        <w:tc>
          <w:tcPr>
            <w:tcW w:w="3281" w:type="pct"/>
            <w:gridSpan w:val="5"/>
            <w:shd w:val="clear" w:color="auto" w:fill="FAE2D5" w:themeFill="accent2" w:themeFillTint="33"/>
          </w:tcPr>
          <w:p w14:paraId="225866ED" w14:textId="77777777" w:rsidR="00677055" w:rsidRPr="00A80046"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Stand van zaken België</w:t>
            </w:r>
          </w:p>
        </w:tc>
      </w:tr>
      <w:tr w:rsidR="00677055" w:rsidRPr="00A80046" w14:paraId="235CCF4C" w14:textId="77777777" w:rsidTr="004D63F1">
        <w:trPr>
          <w:gridAfter w:val="1"/>
          <w:wAfter w:w="6" w:type="pct"/>
          <w:trHeight w:val="300"/>
        </w:trPr>
        <w:tc>
          <w:tcPr>
            <w:tcW w:w="491" w:type="pct"/>
            <w:shd w:val="clear" w:color="auto" w:fill="C1E4F5" w:themeFill="accent1" w:themeFillTint="33"/>
            <w:vAlign w:val="center"/>
          </w:tcPr>
          <w:p w14:paraId="7C8EDBA5" w14:textId="77777777" w:rsidR="00677055" w:rsidRPr="00F74F55" w:rsidRDefault="00677055" w:rsidP="004D63F1">
            <w:pPr>
              <w:spacing w:line="240" w:lineRule="auto"/>
              <w:jc w:val="center"/>
              <w:rPr>
                <w:rFonts w:ascii="Aptos" w:hAnsi="Aptos"/>
                <w:b/>
                <w:bCs/>
                <w:sz w:val="22"/>
                <w:szCs w:val="22"/>
                <w:lang w:val="en-GB" w:eastAsia="en-GB"/>
              </w:rPr>
            </w:pPr>
            <w:r>
              <w:rPr>
                <w:rFonts w:ascii="Aptos" w:hAnsi="Aptos"/>
                <w:b/>
                <w:bCs/>
                <w:sz w:val="22"/>
                <w:szCs w:val="22"/>
                <w:lang w:val="en-GB" w:eastAsia="en-GB"/>
              </w:rPr>
              <w:t>Bepaling</w:t>
            </w:r>
          </w:p>
        </w:tc>
        <w:tc>
          <w:tcPr>
            <w:tcW w:w="1228" w:type="pct"/>
            <w:shd w:val="clear" w:color="auto" w:fill="C1E4F5" w:themeFill="accent1" w:themeFillTint="33"/>
            <w:vAlign w:val="center"/>
          </w:tcPr>
          <w:p w14:paraId="0F8D330B" w14:textId="77777777" w:rsidR="00677055" w:rsidRPr="00F74F55" w:rsidRDefault="00677055" w:rsidP="004D63F1">
            <w:pPr>
              <w:spacing w:line="240" w:lineRule="auto"/>
              <w:jc w:val="center"/>
              <w:rPr>
                <w:rFonts w:ascii="Aptos" w:hAnsi="Aptos"/>
                <w:b/>
                <w:bCs/>
                <w:sz w:val="22"/>
                <w:szCs w:val="22"/>
                <w:lang w:val="en-GB" w:eastAsia="en-GB"/>
              </w:rPr>
            </w:pPr>
            <w:r w:rsidRPr="00F74F55">
              <w:rPr>
                <w:rFonts w:ascii="Aptos" w:hAnsi="Aptos"/>
                <w:b/>
                <w:bCs/>
                <w:sz w:val="22"/>
                <w:szCs w:val="22"/>
                <w:lang w:val="en-GB" w:eastAsia="en-GB"/>
              </w:rPr>
              <w:t>Beschrijving van de verplichting</w:t>
            </w:r>
          </w:p>
        </w:tc>
        <w:tc>
          <w:tcPr>
            <w:tcW w:w="1272" w:type="pct"/>
            <w:shd w:val="clear" w:color="auto" w:fill="FAE2D5" w:themeFill="accent2" w:themeFillTint="33"/>
            <w:vAlign w:val="center"/>
          </w:tcPr>
          <w:p w14:paraId="36EBE844" w14:textId="77777777" w:rsidR="00677055" w:rsidRPr="00F74F55"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Bevoegdheid</w:t>
            </w:r>
          </w:p>
        </w:tc>
        <w:tc>
          <w:tcPr>
            <w:tcW w:w="1103" w:type="pct"/>
            <w:shd w:val="clear" w:color="auto" w:fill="FAE2D5" w:themeFill="accent2" w:themeFillTint="33"/>
            <w:vAlign w:val="center"/>
          </w:tcPr>
          <w:p w14:paraId="133A462F" w14:textId="77777777" w:rsidR="00677055" w:rsidRPr="00F74F55"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Wetgeving</w:t>
            </w:r>
          </w:p>
        </w:tc>
        <w:tc>
          <w:tcPr>
            <w:tcW w:w="330" w:type="pct"/>
            <w:shd w:val="clear" w:color="auto" w:fill="FAE2D5" w:themeFill="accent2" w:themeFillTint="33"/>
            <w:vAlign w:val="center"/>
          </w:tcPr>
          <w:p w14:paraId="3DA32582" w14:textId="77777777" w:rsidR="00677055" w:rsidRDefault="00677055" w:rsidP="004D63F1">
            <w:pPr>
              <w:spacing w:line="240" w:lineRule="auto"/>
              <w:jc w:val="center"/>
              <w:rPr>
                <w:rFonts w:ascii="Aptos" w:hAnsi="Aptos"/>
                <w:b/>
                <w:bCs/>
                <w:sz w:val="22"/>
                <w:szCs w:val="22"/>
                <w:lang w:val="en-GB" w:eastAsia="en-GB"/>
              </w:rPr>
            </w:pPr>
            <w:r w:rsidRPr="00A80046">
              <w:rPr>
                <w:rFonts w:ascii="Aptos" w:hAnsi="Aptos"/>
                <w:b/>
                <w:bCs/>
                <w:sz w:val="22"/>
                <w:szCs w:val="22"/>
                <w:lang w:val="en-GB" w:eastAsia="en-GB"/>
              </w:rPr>
              <w:t>Wijziging noodzakelijk?</w:t>
            </w:r>
          </w:p>
          <w:p w14:paraId="36E2BB0D" w14:textId="77777777" w:rsidR="00677055" w:rsidRPr="00A80046" w:rsidRDefault="00677055" w:rsidP="004D63F1">
            <w:pPr>
              <w:spacing w:line="240" w:lineRule="auto"/>
              <w:jc w:val="center"/>
              <w:rPr>
                <w:rFonts w:ascii="Aptos" w:hAnsi="Aptos"/>
                <w:b/>
                <w:bCs/>
                <w:sz w:val="22"/>
                <w:szCs w:val="22"/>
                <w:lang w:val="en-GB" w:eastAsia="en-GB"/>
              </w:rPr>
            </w:pPr>
            <w:r>
              <w:rPr>
                <w:rFonts w:ascii="Aptos" w:hAnsi="Aptos"/>
                <w:b/>
                <w:bCs/>
                <w:sz w:val="22"/>
                <w:szCs w:val="22"/>
                <w:lang w:val="en-GB" w:eastAsia="en-GB"/>
              </w:rPr>
              <w:t>(Ja/Nee)</w:t>
            </w:r>
          </w:p>
        </w:tc>
        <w:tc>
          <w:tcPr>
            <w:tcW w:w="570" w:type="pct"/>
            <w:shd w:val="clear" w:color="auto" w:fill="FAE2D5" w:themeFill="accent2" w:themeFillTint="33"/>
          </w:tcPr>
          <w:p w14:paraId="332EBEDC" w14:textId="77777777" w:rsidR="00677055" w:rsidRPr="00A80046" w:rsidRDefault="00677055" w:rsidP="004D63F1">
            <w:pPr>
              <w:spacing w:line="240" w:lineRule="auto"/>
              <w:jc w:val="center"/>
              <w:rPr>
                <w:rFonts w:ascii="Aptos" w:hAnsi="Aptos"/>
                <w:b/>
                <w:bCs/>
                <w:sz w:val="22"/>
                <w:szCs w:val="22"/>
                <w:lang w:val="en-GB" w:eastAsia="en-GB"/>
              </w:rPr>
            </w:pPr>
            <w:r>
              <w:rPr>
                <w:rFonts w:ascii="Aptos" w:hAnsi="Aptos"/>
                <w:b/>
                <w:bCs/>
                <w:sz w:val="22"/>
                <w:szCs w:val="22"/>
                <w:lang w:val="en-GB" w:eastAsia="en-GB"/>
              </w:rPr>
              <w:t>Opmerking</w:t>
            </w:r>
          </w:p>
        </w:tc>
      </w:tr>
    </w:tbl>
    <w:tbl>
      <w:tblPr>
        <w:tblStyle w:val="Grilledutableau"/>
        <w:tblW w:w="5945" w:type="pct"/>
        <w:tblInd w:w="-856" w:type="dxa"/>
        <w:tblLayout w:type="fixed"/>
        <w:tblLook w:val="04A0" w:firstRow="1" w:lastRow="0" w:firstColumn="1" w:lastColumn="0" w:noHBand="0" w:noVBand="1"/>
      </w:tblPr>
      <w:tblGrid>
        <w:gridCol w:w="1417"/>
        <w:gridCol w:w="3689"/>
        <w:gridCol w:w="3683"/>
        <w:gridCol w:w="3261"/>
        <w:gridCol w:w="992"/>
        <w:gridCol w:w="2356"/>
      </w:tblGrid>
      <w:tr w:rsidR="00677055" w:rsidRPr="008623F2" w14:paraId="61B7B917" w14:textId="77777777" w:rsidTr="004D63F1">
        <w:trPr>
          <w:trHeight w:val="269"/>
        </w:trPr>
        <w:tc>
          <w:tcPr>
            <w:tcW w:w="460" w:type="pct"/>
            <w:shd w:val="clear" w:color="auto" w:fill="FFFFCC"/>
          </w:tcPr>
          <w:p w14:paraId="3A895420" w14:textId="77777777" w:rsidR="00677055" w:rsidRPr="008623F2" w:rsidRDefault="00677055" w:rsidP="004D63F1">
            <w:pPr>
              <w:spacing w:line="240" w:lineRule="auto"/>
              <w:rPr>
                <w:rFonts w:ascii="Aptos" w:hAnsi="Aptos"/>
                <w:b/>
                <w:bCs/>
                <w:sz w:val="22"/>
                <w:szCs w:val="22"/>
                <w:lang w:val="en-GB" w:eastAsia="en-GB"/>
              </w:rPr>
            </w:pPr>
          </w:p>
        </w:tc>
        <w:tc>
          <w:tcPr>
            <w:tcW w:w="1198" w:type="pct"/>
            <w:shd w:val="clear" w:color="auto" w:fill="FFFFCC"/>
          </w:tcPr>
          <w:p w14:paraId="416D2E56" w14:textId="77777777" w:rsidR="00677055" w:rsidRPr="008623F2" w:rsidRDefault="00677055" w:rsidP="004D63F1">
            <w:pPr>
              <w:spacing w:line="240" w:lineRule="auto"/>
              <w:rPr>
                <w:rFonts w:ascii="Aptos" w:hAnsi="Aptos"/>
                <w:b/>
                <w:bCs/>
                <w:sz w:val="22"/>
                <w:szCs w:val="22"/>
                <w:lang w:val="en-GB" w:eastAsia="en-GB"/>
              </w:rPr>
            </w:pPr>
            <w:r w:rsidRPr="008623F2">
              <w:rPr>
                <w:rFonts w:ascii="Aptos" w:hAnsi="Aptos"/>
                <w:b/>
                <w:bCs/>
                <w:sz w:val="22"/>
                <w:szCs w:val="22"/>
                <w:lang w:val="en-GB" w:eastAsia="en-GB"/>
              </w:rPr>
              <w:t>Verzwarende omstandigheden</w:t>
            </w:r>
          </w:p>
        </w:tc>
        <w:tc>
          <w:tcPr>
            <w:tcW w:w="1196" w:type="pct"/>
            <w:tcBorders>
              <w:top w:val="single" w:sz="4" w:space="0" w:color="auto"/>
              <w:bottom w:val="single" w:sz="4" w:space="0" w:color="auto"/>
              <w:right w:val="single" w:sz="4" w:space="0" w:color="auto"/>
            </w:tcBorders>
            <w:shd w:val="clear" w:color="auto" w:fill="FFFFCC"/>
          </w:tcPr>
          <w:p w14:paraId="14976380" w14:textId="77777777" w:rsidR="00677055" w:rsidRPr="008623F2" w:rsidRDefault="00677055" w:rsidP="004D63F1">
            <w:pPr>
              <w:spacing w:line="240" w:lineRule="auto"/>
              <w:rPr>
                <w:rFonts w:ascii="Aptos" w:hAnsi="Aptos"/>
                <w:sz w:val="22"/>
                <w:szCs w:val="22"/>
                <w:lang w:val="en-GB" w:eastAsia="en-GB"/>
              </w:rPr>
            </w:pPr>
            <w:r w:rsidRPr="008623F2">
              <w:rPr>
                <w:rFonts w:ascii="Aptos" w:hAnsi="Aptos"/>
                <w:sz w:val="22"/>
                <w:szCs w:val="22"/>
                <w:lang w:val="en-GB" w:eastAsia="en-GB"/>
              </w:rPr>
              <w:t>FOD Justitie</w:t>
            </w:r>
          </w:p>
        </w:tc>
        <w:tc>
          <w:tcPr>
            <w:tcW w:w="1059" w:type="pct"/>
            <w:tcBorders>
              <w:top w:val="single" w:sz="4" w:space="0" w:color="auto"/>
              <w:left w:val="single" w:sz="4" w:space="0" w:color="auto"/>
              <w:bottom w:val="single" w:sz="4" w:space="0" w:color="auto"/>
              <w:right w:val="single" w:sz="4" w:space="0" w:color="auto"/>
            </w:tcBorders>
            <w:shd w:val="clear" w:color="auto" w:fill="FFFFCC"/>
          </w:tcPr>
          <w:p w14:paraId="0ED0D934" w14:textId="77777777" w:rsidR="00677055" w:rsidRPr="008623F2" w:rsidRDefault="00677055" w:rsidP="004D63F1">
            <w:pPr>
              <w:spacing w:line="240" w:lineRule="auto"/>
              <w:rPr>
                <w:rFonts w:ascii="Aptos" w:hAnsi="Aptos"/>
                <w:sz w:val="22"/>
                <w:szCs w:val="22"/>
                <w:lang w:val="en-GB" w:eastAsia="en-GB"/>
              </w:rPr>
            </w:pPr>
          </w:p>
        </w:tc>
        <w:tc>
          <w:tcPr>
            <w:tcW w:w="322" w:type="pct"/>
            <w:tcBorders>
              <w:top w:val="single" w:sz="4" w:space="0" w:color="auto"/>
              <w:left w:val="single" w:sz="4" w:space="0" w:color="auto"/>
              <w:bottom w:val="single" w:sz="4" w:space="0" w:color="auto"/>
              <w:right w:val="single" w:sz="4" w:space="0" w:color="auto"/>
            </w:tcBorders>
          </w:tcPr>
          <w:p w14:paraId="7D29601A" w14:textId="77777777" w:rsidR="00677055" w:rsidRPr="008623F2" w:rsidRDefault="00677055" w:rsidP="004D63F1">
            <w:pPr>
              <w:spacing w:line="240" w:lineRule="auto"/>
              <w:rPr>
                <w:rFonts w:ascii="Aptos" w:hAnsi="Aptos"/>
                <w:sz w:val="22"/>
                <w:szCs w:val="22"/>
                <w:lang w:val="en-GB" w:eastAsia="en-GB"/>
              </w:rPr>
            </w:pPr>
          </w:p>
        </w:tc>
        <w:tc>
          <w:tcPr>
            <w:tcW w:w="765" w:type="pct"/>
            <w:tcBorders>
              <w:top w:val="single" w:sz="4" w:space="0" w:color="auto"/>
              <w:left w:val="single" w:sz="4" w:space="0" w:color="auto"/>
              <w:bottom w:val="single" w:sz="4" w:space="0" w:color="auto"/>
              <w:right w:val="single" w:sz="4" w:space="0" w:color="auto"/>
            </w:tcBorders>
          </w:tcPr>
          <w:p w14:paraId="3758B8D6" w14:textId="77777777" w:rsidR="00677055" w:rsidRPr="008623F2" w:rsidRDefault="00677055" w:rsidP="004D63F1">
            <w:pPr>
              <w:spacing w:line="240" w:lineRule="auto"/>
              <w:rPr>
                <w:rFonts w:ascii="Aptos" w:hAnsi="Aptos"/>
                <w:sz w:val="22"/>
                <w:szCs w:val="22"/>
                <w:lang w:val="en-GB" w:eastAsia="en-GB"/>
              </w:rPr>
            </w:pPr>
          </w:p>
        </w:tc>
      </w:tr>
      <w:tr w:rsidR="00677055" w:rsidRPr="008B429A" w14:paraId="2E516236" w14:textId="77777777" w:rsidTr="004D63F1">
        <w:tc>
          <w:tcPr>
            <w:tcW w:w="460" w:type="pct"/>
            <w:shd w:val="clear" w:color="auto" w:fill="D9F2D0" w:themeFill="accent6" w:themeFillTint="33"/>
          </w:tcPr>
          <w:p w14:paraId="60448EE8"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21 (e)</w:t>
            </w:r>
          </w:p>
        </w:tc>
        <w:tc>
          <w:tcPr>
            <w:tcW w:w="1198" w:type="pct"/>
            <w:shd w:val="clear" w:color="auto" w:fill="D9F2D0" w:themeFill="accent6" w:themeFillTint="33"/>
          </w:tcPr>
          <w:p w14:paraId="412B352B"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Slachtoffers behandelen op een manier die rekening houdt met trauma's, gender, handicaps en kinderen.</w:t>
            </w:r>
          </w:p>
        </w:tc>
        <w:tc>
          <w:tcPr>
            <w:tcW w:w="1196" w:type="pct"/>
            <w:tcBorders>
              <w:top w:val="single" w:sz="4" w:space="0" w:color="auto"/>
              <w:bottom w:val="single" w:sz="4" w:space="0" w:color="auto"/>
              <w:right w:val="single" w:sz="4" w:space="0" w:color="auto"/>
            </w:tcBorders>
            <w:shd w:val="clear" w:color="auto" w:fill="D9F2D0" w:themeFill="accent6" w:themeFillTint="33"/>
          </w:tcPr>
          <w:p w14:paraId="31A39920" w14:textId="77777777" w:rsidR="00677055" w:rsidRPr="008B429A" w:rsidRDefault="00677055" w:rsidP="004D63F1">
            <w:pPr>
              <w:spacing w:line="240" w:lineRule="auto"/>
              <w:rPr>
                <w:rFonts w:ascii="Aptos" w:hAnsi="Aptos"/>
                <w:sz w:val="22"/>
                <w:szCs w:val="22"/>
                <w:lang w:val="nl-BE" w:eastAsia="en-GB"/>
              </w:rPr>
            </w:pPr>
            <w:commentRangeStart w:id="0"/>
            <w:r w:rsidRPr="008B429A">
              <w:rPr>
                <w:rFonts w:ascii="Aptos" w:hAnsi="Aptos"/>
                <w:sz w:val="22"/>
                <w:szCs w:val="22"/>
                <w:lang w:val="nl-BE" w:eastAsia="en-GB"/>
              </w:rPr>
              <w:t>Federale politie (opleiding), FOD Justitie (richtlijnen), Slachtofferhulp (opleiding)</w:t>
            </w:r>
            <w:commentRangeEnd w:id="0"/>
            <w:r>
              <w:rPr>
                <w:rStyle w:val="Marquedecommentaire"/>
                <w:rFonts w:eastAsiaTheme="majorEastAsia"/>
              </w:rPr>
              <w:commentReference w:id="0"/>
            </w:r>
          </w:p>
        </w:tc>
        <w:tc>
          <w:tcPr>
            <w:tcW w:w="1059"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C3626AE" w14:textId="77777777" w:rsidR="00677055" w:rsidRPr="008B429A" w:rsidRDefault="00677055" w:rsidP="004D63F1">
            <w:pPr>
              <w:spacing w:line="240" w:lineRule="auto"/>
              <w:rPr>
                <w:rFonts w:ascii="Aptos" w:hAnsi="Aptos"/>
                <w:sz w:val="22"/>
                <w:szCs w:val="22"/>
                <w:lang w:val="nl-BE" w:eastAsia="en-GB"/>
              </w:rPr>
            </w:pPr>
          </w:p>
        </w:tc>
        <w:tc>
          <w:tcPr>
            <w:tcW w:w="322" w:type="pct"/>
            <w:tcBorders>
              <w:top w:val="single" w:sz="4" w:space="0" w:color="auto"/>
              <w:left w:val="single" w:sz="4" w:space="0" w:color="auto"/>
              <w:bottom w:val="single" w:sz="4" w:space="0" w:color="auto"/>
              <w:right w:val="single" w:sz="4" w:space="0" w:color="auto"/>
            </w:tcBorders>
          </w:tcPr>
          <w:p w14:paraId="7476DB0B" w14:textId="77777777" w:rsidR="00677055" w:rsidRPr="008B429A" w:rsidRDefault="00677055" w:rsidP="004D63F1">
            <w:pPr>
              <w:spacing w:line="240" w:lineRule="auto"/>
              <w:rPr>
                <w:rFonts w:ascii="Aptos" w:hAnsi="Aptos"/>
                <w:sz w:val="22"/>
                <w:szCs w:val="22"/>
                <w:lang w:val="nl-BE" w:eastAsia="en-GB"/>
              </w:rPr>
            </w:pPr>
          </w:p>
        </w:tc>
        <w:tc>
          <w:tcPr>
            <w:tcW w:w="765" w:type="pct"/>
            <w:tcBorders>
              <w:top w:val="single" w:sz="4" w:space="0" w:color="auto"/>
              <w:left w:val="single" w:sz="4" w:space="0" w:color="auto"/>
              <w:bottom w:val="single" w:sz="4" w:space="0" w:color="auto"/>
              <w:right w:val="single" w:sz="4" w:space="0" w:color="auto"/>
            </w:tcBorders>
          </w:tcPr>
          <w:p w14:paraId="0EBE1C53" w14:textId="77777777" w:rsidR="00677055" w:rsidRPr="008B429A" w:rsidRDefault="00677055" w:rsidP="004D63F1">
            <w:pPr>
              <w:spacing w:line="240" w:lineRule="auto"/>
              <w:rPr>
                <w:rFonts w:ascii="Aptos" w:hAnsi="Aptos"/>
                <w:sz w:val="22"/>
                <w:szCs w:val="22"/>
                <w:lang w:val="nl-BE" w:eastAsia="en-GB"/>
              </w:rPr>
            </w:pPr>
          </w:p>
        </w:tc>
      </w:tr>
      <w:tr w:rsidR="00677055" w:rsidRPr="008B429A" w14:paraId="0364F7AB" w14:textId="77777777" w:rsidTr="004D63F1">
        <w:tc>
          <w:tcPr>
            <w:tcW w:w="460" w:type="pct"/>
            <w:shd w:val="clear" w:color="auto" w:fill="FFFFCC"/>
          </w:tcPr>
          <w:p w14:paraId="03318517"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29 §2</w:t>
            </w:r>
          </w:p>
        </w:tc>
        <w:tc>
          <w:tcPr>
            <w:tcW w:w="1198" w:type="pct"/>
            <w:shd w:val="clear" w:color="auto" w:fill="FFFFCC"/>
          </w:tcPr>
          <w:p w14:paraId="1DCB842C"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Ervoor zorgen dat diensten toegankelijk zijn voor eindgebruikers met een handicap.</w:t>
            </w:r>
          </w:p>
        </w:tc>
        <w:tc>
          <w:tcPr>
            <w:tcW w:w="1196" w:type="pct"/>
            <w:shd w:val="clear" w:color="auto" w:fill="FFFFCC"/>
          </w:tcPr>
          <w:p w14:paraId="239A4409"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IEHF/IGVM, Gemeenschappen en Gewesten</w:t>
            </w:r>
          </w:p>
        </w:tc>
        <w:tc>
          <w:tcPr>
            <w:tcW w:w="1059" w:type="pct"/>
            <w:shd w:val="clear" w:color="auto" w:fill="FFFFCC"/>
          </w:tcPr>
          <w:p w14:paraId="7030D2A7" w14:textId="77777777" w:rsidR="00677055" w:rsidRPr="008B429A" w:rsidRDefault="00677055" w:rsidP="004D63F1">
            <w:pPr>
              <w:spacing w:line="240" w:lineRule="auto"/>
              <w:rPr>
                <w:rFonts w:ascii="Aptos" w:hAnsi="Aptos"/>
                <w:sz w:val="22"/>
                <w:szCs w:val="22"/>
                <w:lang w:val="nl-BE" w:eastAsia="en-GB"/>
              </w:rPr>
            </w:pPr>
          </w:p>
        </w:tc>
        <w:tc>
          <w:tcPr>
            <w:tcW w:w="322" w:type="pct"/>
          </w:tcPr>
          <w:p w14:paraId="1C0E3227" w14:textId="77777777" w:rsidR="00677055" w:rsidRPr="008B429A" w:rsidRDefault="00677055" w:rsidP="004D63F1">
            <w:pPr>
              <w:spacing w:line="240" w:lineRule="auto"/>
              <w:rPr>
                <w:rFonts w:ascii="Aptos" w:hAnsi="Aptos"/>
                <w:sz w:val="22"/>
                <w:szCs w:val="22"/>
                <w:lang w:val="nl-BE" w:eastAsia="en-GB"/>
              </w:rPr>
            </w:pPr>
          </w:p>
        </w:tc>
        <w:tc>
          <w:tcPr>
            <w:tcW w:w="765" w:type="pct"/>
          </w:tcPr>
          <w:p w14:paraId="67A6C1C8" w14:textId="77777777" w:rsidR="00677055" w:rsidRPr="008B429A" w:rsidRDefault="00677055" w:rsidP="004D63F1">
            <w:pPr>
              <w:spacing w:line="240" w:lineRule="auto"/>
              <w:rPr>
                <w:rFonts w:ascii="Aptos" w:hAnsi="Aptos"/>
                <w:sz w:val="22"/>
                <w:szCs w:val="22"/>
                <w:lang w:val="nl-BE" w:eastAsia="en-GB"/>
              </w:rPr>
            </w:pPr>
          </w:p>
        </w:tc>
      </w:tr>
      <w:tr w:rsidR="00677055" w:rsidRPr="008B429A" w14:paraId="534F8463" w14:textId="77777777" w:rsidTr="004D63F1">
        <w:tc>
          <w:tcPr>
            <w:tcW w:w="460" w:type="pct"/>
            <w:shd w:val="clear" w:color="auto" w:fill="FFFFCC"/>
          </w:tcPr>
          <w:p w14:paraId="537DFEB6"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33 §2</w:t>
            </w:r>
          </w:p>
        </w:tc>
        <w:tc>
          <w:tcPr>
            <w:tcW w:w="1198" w:type="pct"/>
            <w:shd w:val="clear" w:color="auto" w:fill="FFFFCC"/>
          </w:tcPr>
          <w:p w14:paraId="23A170AC" w14:textId="77777777" w:rsidR="00677055" w:rsidRPr="008B429A" w:rsidRDefault="00677055" w:rsidP="004D63F1">
            <w:pPr>
              <w:spacing w:line="240" w:lineRule="auto"/>
              <w:rPr>
                <w:rFonts w:ascii="Aptos" w:hAnsi="Aptos"/>
                <w:sz w:val="22"/>
                <w:szCs w:val="22"/>
                <w:lang w:val="nl-BE" w:eastAsia="en-GB"/>
              </w:rPr>
            </w:pPr>
            <w:commentRangeStart w:id="1"/>
            <w:r w:rsidRPr="008B429A">
              <w:rPr>
                <w:rFonts w:ascii="Aptos" w:hAnsi="Aptos"/>
                <w:sz w:val="22"/>
                <w:szCs w:val="22"/>
                <w:lang w:val="nl-BE" w:eastAsia="en-GB"/>
              </w:rPr>
              <w:t>Ondersteunende diensten moeten over voldoende capaciteit beschikken om slachtoffers met een handicap op te vangen.</w:t>
            </w:r>
            <w:commentRangeEnd w:id="1"/>
            <w:r>
              <w:rPr>
                <w:rStyle w:val="Marquedecommentaire"/>
                <w:rFonts w:eastAsiaTheme="majorEastAsia"/>
              </w:rPr>
              <w:commentReference w:id="1"/>
            </w:r>
          </w:p>
        </w:tc>
        <w:tc>
          <w:tcPr>
            <w:tcW w:w="1196" w:type="pct"/>
            <w:shd w:val="clear" w:color="auto" w:fill="FFFFCC"/>
          </w:tcPr>
          <w:p w14:paraId="036C4730"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 xml:space="preserve">Agence pour </w:t>
            </w:r>
            <w:proofErr w:type="spellStart"/>
            <w:r w:rsidRPr="008B429A">
              <w:rPr>
                <w:rFonts w:ascii="Aptos" w:hAnsi="Aptos"/>
                <w:sz w:val="22"/>
                <w:szCs w:val="22"/>
                <w:lang w:val="nl-BE" w:eastAsia="en-GB"/>
              </w:rPr>
              <w:t>une</w:t>
            </w:r>
            <w:proofErr w:type="spellEnd"/>
            <w:r w:rsidRPr="008B429A">
              <w:rPr>
                <w:rFonts w:ascii="Aptos" w:hAnsi="Aptos"/>
                <w:sz w:val="22"/>
                <w:szCs w:val="22"/>
                <w:lang w:val="nl-BE" w:eastAsia="en-GB"/>
              </w:rPr>
              <w:t xml:space="preserve"> </w:t>
            </w:r>
            <w:proofErr w:type="spellStart"/>
            <w:r w:rsidRPr="008B429A">
              <w:rPr>
                <w:rFonts w:ascii="Aptos" w:hAnsi="Aptos"/>
                <w:sz w:val="22"/>
                <w:szCs w:val="22"/>
                <w:lang w:val="nl-BE" w:eastAsia="en-GB"/>
              </w:rPr>
              <w:t>Vie</w:t>
            </w:r>
            <w:proofErr w:type="spellEnd"/>
            <w:r w:rsidRPr="008B429A">
              <w:rPr>
                <w:rFonts w:ascii="Aptos" w:hAnsi="Aptos"/>
                <w:sz w:val="22"/>
                <w:szCs w:val="22"/>
                <w:lang w:val="nl-BE" w:eastAsia="en-GB"/>
              </w:rPr>
              <w:t xml:space="preserve"> de </w:t>
            </w:r>
            <w:proofErr w:type="spellStart"/>
            <w:r w:rsidRPr="008B429A">
              <w:rPr>
                <w:rFonts w:ascii="Aptos" w:hAnsi="Aptos"/>
                <w:sz w:val="22"/>
                <w:szCs w:val="22"/>
                <w:lang w:val="nl-BE" w:eastAsia="en-GB"/>
              </w:rPr>
              <w:t>Qualité</w:t>
            </w:r>
            <w:proofErr w:type="spellEnd"/>
            <w:r w:rsidRPr="008B429A">
              <w:rPr>
                <w:rFonts w:ascii="Aptos" w:hAnsi="Aptos"/>
                <w:sz w:val="22"/>
                <w:szCs w:val="22"/>
                <w:lang w:val="nl-BE" w:eastAsia="en-GB"/>
              </w:rPr>
              <w:t xml:space="preserve"> (AVIQ - Wallonië), Vlaams Agentschap voor Personen met een Handicap (VAPH - Vlaanderen), </w:t>
            </w:r>
            <w:proofErr w:type="spellStart"/>
            <w:r w:rsidRPr="008B429A">
              <w:rPr>
                <w:rFonts w:ascii="Aptos" w:hAnsi="Aptos"/>
                <w:sz w:val="22"/>
                <w:szCs w:val="22"/>
                <w:lang w:val="nl-BE" w:eastAsia="en-GB"/>
              </w:rPr>
              <w:t>Phare</w:t>
            </w:r>
            <w:proofErr w:type="spellEnd"/>
            <w:r w:rsidRPr="008B429A">
              <w:rPr>
                <w:rFonts w:ascii="Aptos" w:hAnsi="Aptos"/>
                <w:sz w:val="22"/>
                <w:szCs w:val="22"/>
                <w:lang w:val="nl-BE" w:eastAsia="en-GB"/>
              </w:rPr>
              <w:t xml:space="preserve"> (Brussel), Dienst </w:t>
            </w:r>
            <w:proofErr w:type="spellStart"/>
            <w:r w:rsidRPr="008B429A">
              <w:rPr>
                <w:rFonts w:ascii="Aptos" w:hAnsi="Aptos"/>
                <w:sz w:val="22"/>
                <w:szCs w:val="22"/>
                <w:lang w:val="nl-BE" w:eastAsia="en-GB"/>
              </w:rPr>
              <w:t>für</w:t>
            </w:r>
            <w:proofErr w:type="spellEnd"/>
            <w:r w:rsidRPr="008B429A">
              <w:rPr>
                <w:rFonts w:ascii="Aptos" w:hAnsi="Aptos"/>
                <w:sz w:val="22"/>
                <w:szCs w:val="22"/>
                <w:lang w:val="nl-BE" w:eastAsia="en-GB"/>
              </w:rPr>
              <w:t xml:space="preserve"> Personen </w:t>
            </w:r>
            <w:proofErr w:type="spellStart"/>
            <w:r w:rsidRPr="008B429A">
              <w:rPr>
                <w:rFonts w:ascii="Aptos" w:hAnsi="Aptos"/>
                <w:sz w:val="22"/>
                <w:szCs w:val="22"/>
                <w:lang w:val="nl-BE" w:eastAsia="en-GB"/>
              </w:rPr>
              <w:t>mit</w:t>
            </w:r>
            <w:proofErr w:type="spellEnd"/>
            <w:r w:rsidRPr="008B429A">
              <w:rPr>
                <w:rFonts w:ascii="Aptos" w:hAnsi="Aptos"/>
                <w:sz w:val="22"/>
                <w:szCs w:val="22"/>
                <w:lang w:val="nl-BE" w:eastAsia="en-GB"/>
              </w:rPr>
              <w:t xml:space="preserve"> </w:t>
            </w:r>
            <w:proofErr w:type="spellStart"/>
            <w:r w:rsidRPr="008B429A">
              <w:rPr>
                <w:rFonts w:ascii="Aptos" w:hAnsi="Aptos"/>
                <w:sz w:val="22"/>
                <w:szCs w:val="22"/>
                <w:lang w:val="nl-BE" w:eastAsia="en-GB"/>
              </w:rPr>
              <w:t>Behinderung</w:t>
            </w:r>
            <w:proofErr w:type="spellEnd"/>
            <w:r w:rsidRPr="008B429A">
              <w:rPr>
                <w:rFonts w:ascii="Aptos" w:hAnsi="Aptos"/>
                <w:sz w:val="22"/>
                <w:szCs w:val="22"/>
                <w:lang w:val="nl-BE" w:eastAsia="en-GB"/>
              </w:rPr>
              <w:t xml:space="preserve"> (DPB - Duitstalige Gemeenschap)</w:t>
            </w:r>
          </w:p>
        </w:tc>
        <w:tc>
          <w:tcPr>
            <w:tcW w:w="1059" w:type="pct"/>
            <w:shd w:val="clear" w:color="auto" w:fill="FFFFCC"/>
          </w:tcPr>
          <w:p w14:paraId="6BF3A199" w14:textId="77777777" w:rsidR="00677055" w:rsidRPr="008B429A" w:rsidRDefault="00677055" w:rsidP="004D63F1">
            <w:pPr>
              <w:spacing w:line="240" w:lineRule="auto"/>
              <w:rPr>
                <w:rFonts w:ascii="Aptos" w:hAnsi="Aptos"/>
                <w:sz w:val="22"/>
                <w:szCs w:val="22"/>
                <w:lang w:val="nl-BE" w:eastAsia="en-GB"/>
              </w:rPr>
            </w:pPr>
          </w:p>
        </w:tc>
        <w:tc>
          <w:tcPr>
            <w:tcW w:w="322" w:type="pct"/>
          </w:tcPr>
          <w:p w14:paraId="7C8B6E61" w14:textId="77777777" w:rsidR="00677055" w:rsidRPr="008B429A" w:rsidRDefault="00677055" w:rsidP="004D63F1">
            <w:pPr>
              <w:spacing w:line="240" w:lineRule="auto"/>
              <w:rPr>
                <w:rFonts w:ascii="Aptos" w:hAnsi="Aptos"/>
                <w:sz w:val="22"/>
                <w:szCs w:val="22"/>
                <w:lang w:val="nl-BE" w:eastAsia="en-GB"/>
              </w:rPr>
            </w:pPr>
          </w:p>
        </w:tc>
        <w:tc>
          <w:tcPr>
            <w:tcW w:w="765" w:type="pct"/>
          </w:tcPr>
          <w:p w14:paraId="0C166C90" w14:textId="77777777" w:rsidR="00677055" w:rsidRPr="008B429A" w:rsidRDefault="00677055" w:rsidP="004D63F1">
            <w:pPr>
              <w:spacing w:line="240" w:lineRule="auto"/>
              <w:rPr>
                <w:rFonts w:ascii="Aptos" w:hAnsi="Aptos"/>
                <w:sz w:val="22"/>
                <w:szCs w:val="22"/>
                <w:lang w:val="nl-BE" w:eastAsia="en-GB"/>
              </w:rPr>
            </w:pPr>
          </w:p>
        </w:tc>
      </w:tr>
      <w:tr w:rsidR="00677055" w:rsidRPr="008B429A" w14:paraId="509EBA5D" w14:textId="77777777" w:rsidTr="004D63F1">
        <w:tc>
          <w:tcPr>
            <w:tcW w:w="460" w:type="pct"/>
            <w:shd w:val="clear" w:color="auto" w:fill="FFFFCC"/>
          </w:tcPr>
          <w:p w14:paraId="2C96AD06"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33 §4</w:t>
            </w:r>
          </w:p>
        </w:tc>
        <w:tc>
          <w:tcPr>
            <w:tcW w:w="1198" w:type="pct"/>
            <w:shd w:val="clear" w:color="auto" w:fill="FFFFCC"/>
          </w:tcPr>
          <w:p w14:paraId="2B78779A"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Zorgen voor meldingsmechanismen in instellingen en centra en een adequate afhandeling van meldingen.</w:t>
            </w:r>
          </w:p>
        </w:tc>
        <w:tc>
          <w:tcPr>
            <w:tcW w:w="1196" w:type="pct"/>
            <w:shd w:val="clear" w:color="auto" w:fill="FFFFCC"/>
          </w:tcPr>
          <w:p w14:paraId="4791202B"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 xml:space="preserve">FOD Binnenlandse Zaken (gevangenissen, gesloten centra), </w:t>
            </w:r>
            <w:proofErr w:type="spellStart"/>
            <w:r w:rsidRPr="008B429A">
              <w:rPr>
                <w:rFonts w:ascii="Aptos" w:hAnsi="Aptos"/>
                <w:sz w:val="22"/>
                <w:szCs w:val="22"/>
                <w:lang w:val="nl-BE" w:eastAsia="en-GB"/>
              </w:rPr>
              <w:t>Fedasil</w:t>
            </w:r>
            <w:proofErr w:type="spellEnd"/>
            <w:r w:rsidRPr="008B429A">
              <w:rPr>
                <w:rFonts w:ascii="Aptos" w:hAnsi="Aptos"/>
                <w:sz w:val="22"/>
                <w:szCs w:val="22"/>
                <w:lang w:val="nl-BE" w:eastAsia="en-GB"/>
              </w:rPr>
              <w:t xml:space="preserve"> (opvangcentra), Gemeenschappen en Gewesten (instellingen voor personen met een handicap, enz.)</w:t>
            </w:r>
          </w:p>
        </w:tc>
        <w:tc>
          <w:tcPr>
            <w:tcW w:w="1059" w:type="pct"/>
            <w:shd w:val="clear" w:color="auto" w:fill="FFFFCC"/>
          </w:tcPr>
          <w:p w14:paraId="258BE791" w14:textId="77777777" w:rsidR="00677055" w:rsidRPr="008B429A" w:rsidRDefault="00677055" w:rsidP="004D63F1">
            <w:pPr>
              <w:spacing w:line="240" w:lineRule="auto"/>
              <w:rPr>
                <w:rFonts w:ascii="Aptos" w:hAnsi="Aptos"/>
                <w:sz w:val="22"/>
                <w:szCs w:val="22"/>
                <w:lang w:val="nl-BE" w:eastAsia="en-GB"/>
              </w:rPr>
            </w:pPr>
          </w:p>
        </w:tc>
        <w:tc>
          <w:tcPr>
            <w:tcW w:w="322" w:type="pct"/>
          </w:tcPr>
          <w:p w14:paraId="033F6645" w14:textId="77777777" w:rsidR="00677055" w:rsidRPr="008B429A" w:rsidRDefault="00677055" w:rsidP="004D63F1">
            <w:pPr>
              <w:spacing w:line="240" w:lineRule="auto"/>
              <w:rPr>
                <w:rFonts w:ascii="Aptos" w:hAnsi="Aptos"/>
                <w:sz w:val="22"/>
                <w:szCs w:val="22"/>
                <w:lang w:val="nl-BE" w:eastAsia="en-GB"/>
              </w:rPr>
            </w:pPr>
          </w:p>
        </w:tc>
        <w:tc>
          <w:tcPr>
            <w:tcW w:w="765" w:type="pct"/>
          </w:tcPr>
          <w:p w14:paraId="32430835" w14:textId="77777777" w:rsidR="00677055" w:rsidRPr="008B429A" w:rsidRDefault="00677055" w:rsidP="004D63F1">
            <w:pPr>
              <w:spacing w:line="240" w:lineRule="auto"/>
              <w:rPr>
                <w:rFonts w:ascii="Aptos" w:hAnsi="Aptos"/>
                <w:sz w:val="22"/>
                <w:szCs w:val="22"/>
                <w:lang w:val="nl-BE" w:eastAsia="en-GB"/>
              </w:rPr>
            </w:pPr>
          </w:p>
        </w:tc>
      </w:tr>
      <w:tr w:rsidR="00677055" w:rsidRPr="008B429A" w14:paraId="65AFF292" w14:textId="77777777" w:rsidTr="004D63F1">
        <w:tc>
          <w:tcPr>
            <w:tcW w:w="460" w:type="pct"/>
            <w:shd w:val="clear" w:color="auto" w:fill="FFFFCC"/>
          </w:tcPr>
          <w:p w14:paraId="74605BD9" w14:textId="77777777" w:rsidR="00677055" w:rsidRPr="00F74F55" w:rsidRDefault="00677055" w:rsidP="004D63F1">
            <w:pPr>
              <w:spacing w:line="240" w:lineRule="auto"/>
              <w:rPr>
                <w:rFonts w:ascii="Aptos" w:hAnsi="Aptos"/>
                <w:sz w:val="22"/>
                <w:szCs w:val="22"/>
                <w:lang w:val="en-GB" w:eastAsia="en-GB"/>
              </w:rPr>
            </w:pPr>
            <w:r>
              <w:rPr>
                <w:rFonts w:ascii="Aptos" w:hAnsi="Aptos"/>
                <w:sz w:val="22"/>
                <w:szCs w:val="22"/>
                <w:lang w:val="en-GB" w:eastAsia="en-GB"/>
              </w:rPr>
              <w:t>Art.</w:t>
            </w:r>
            <w:r w:rsidRPr="00F74F55">
              <w:rPr>
                <w:rFonts w:ascii="Aptos" w:hAnsi="Aptos"/>
                <w:sz w:val="22"/>
                <w:szCs w:val="22"/>
                <w:lang w:val="en-GB" w:eastAsia="en-GB"/>
              </w:rPr>
              <w:t xml:space="preserve"> 36 §3</w:t>
            </w:r>
          </w:p>
        </w:tc>
        <w:tc>
          <w:tcPr>
            <w:tcW w:w="1198" w:type="pct"/>
            <w:shd w:val="clear" w:color="auto" w:fill="FFFFCC"/>
          </w:tcPr>
          <w:p w14:paraId="2FB07A69"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Zorgen voor opleiding van rechters en openbare aanklagers.</w:t>
            </w:r>
          </w:p>
        </w:tc>
        <w:tc>
          <w:tcPr>
            <w:tcW w:w="1196" w:type="pct"/>
            <w:shd w:val="clear" w:color="auto" w:fill="FFFFCC"/>
          </w:tcPr>
          <w:p w14:paraId="2054DB3F" w14:textId="77777777" w:rsidR="00677055" w:rsidRPr="008B429A" w:rsidRDefault="00677055" w:rsidP="004D63F1">
            <w:pPr>
              <w:spacing w:line="240" w:lineRule="auto"/>
              <w:rPr>
                <w:rFonts w:ascii="Aptos" w:hAnsi="Aptos"/>
                <w:sz w:val="22"/>
                <w:szCs w:val="22"/>
                <w:lang w:val="nl-BE" w:eastAsia="en-GB"/>
              </w:rPr>
            </w:pPr>
            <w:r w:rsidRPr="008B429A">
              <w:rPr>
                <w:rFonts w:ascii="Aptos" w:hAnsi="Aptos"/>
                <w:sz w:val="22"/>
                <w:szCs w:val="22"/>
                <w:lang w:val="nl-BE" w:eastAsia="en-GB"/>
              </w:rPr>
              <w:t>FOD Justitie (opleiding van magistraten)</w:t>
            </w:r>
          </w:p>
        </w:tc>
        <w:tc>
          <w:tcPr>
            <w:tcW w:w="1059" w:type="pct"/>
            <w:shd w:val="clear" w:color="auto" w:fill="FFFFCC"/>
          </w:tcPr>
          <w:p w14:paraId="726BD634" w14:textId="77777777" w:rsidR="00677055" w:rsidRPr="008B429A" w:rsidRDefault="00677055" w:rsidP="004D63F1">
            <w:pPr>
              <w:spacing w:line="240" w:lineRule="auto"/>
              <w:rPr>
                <w:rFonts w:ascii="Aptos" w:hAnsi="Aptos"/>
                <w:sz w:val="22"/>
                <w:szCs w:val="22"/>
                <w:lang w:val="nl-BE" w:eastAsia="en-GB"/>
              </w:rPr>
            </w:pPr>
          </w:p>
        </w:tc>
        <w:tc>
          <w:tcPr>
            <w:tcW w:w="322" w:type="pct"/>
          </w:tcPr>
          <w:p w14:paraId="2E056C52" w14:textId="77777777" w:rsidR="00677055" w:rsidRPr="008B429A" w:rsidRDefault="00677055" w:rsidP="004D63F1">
            <w:pPr>
              <w:spacing w:line="240" w:lineRule="auto"/>
              <w:rPr>
                <w:rFonts w:ascii="Aptos" w:hAnsi="Aptos"/>
                <w:sz w:val="22"/>
                <w:szCs w:val="22"/>
                <w:lang w:val="nl-BE" w:eastAsia="en-GB"/>
              </w:rPr>
            </w:pPr>
          </w:p>
        </w:tc>
        <w:tc>
          <w:tcPr>
            <w:tcW w:w="765" w:type="pct"/>
          </w:tcPr>
          <w:p w14:paraId="21196121" w14:textId="77777777" w:rsidR="00677055" w:rsidRPr="008B429A" w:rsidRDefault="00677055" w:rsidP="004D63F1">
            <w:pPr>
              <w:spacing w:line="240" w:lineRule="auto"/>
              <w:rPr>
                <w:rFonts w:ascii="Aptos" w:hAnsi="Aptos"/>
                <w:sz w:val="22"/>
                <w:szCs w:val="22"/>
                <w:lang w:val="nl-BE" w:eastAsia="en-GB"/>
              </w:rPr>
            </w:pPr>
          </w:p>
        </w:tc>
      </w:tr>
    </w:tbl>
    <w:p w14:paraId="7DE29DD8" w14:textId="77777777" w:rsidR="00D31B59" w:rsidRPr="008B429A" w:rsidRDefault="00D31B59">
      <w:pPr>
        <w:rPr>
          <w:lang w:val="nl-BE"/>
        </w:rPr>
      </w:pPr>
      <w:r w:rsidRPr="008B429A">
        <w:rPr>
          <w:lang w:val="nl-BE"/>
        </w:rPr>
        <w:br w:type="page"/>
      </w:r>
    </w:p>
    <w:p w14:paraId="282AC5FC" w14:textId="153717BB" w:rsidR="00D31B59" w:rsidRPr="008B429A" w:rsidRDefault="00D31B59" w:rsidP="00D31B59">
      <w:pPr>
        <w:rPr>
          <w:b/>
          <w:bCs/>
          <w:lang w:val="nl-BE"/>
        </w:rPr>
      </w:pPr>
      <w:r w:rsidRPr="008B429A">
        <w:rPr>
          <w:b/>
          <w:bCs/>
          <w:lang w:val="nl-BE"/>
        </w:rPr>
        <w:lastRenderedPageBreak/>
        <w:t>Opmerkingen van de EU over de uitbreiding van de strafbaarstelling van handelingen tegen vrouwen, met name gedwongen sterilisaties en abortussen (22 mei 2025)</w:t>
      </w:r>
    </w:p>
    <w:p w14:paraId="01467592" w14:textId="77777777" w:rsidR="00D31B59" w:rsidRPr="008B429A" w:rsidRDefault="00D31B59" w:rsidP="00D31B59">
      <w:pPr>
        <w:rPr>
          <w:b/>
          <w:bCs/>
          <w:lang w:val="nl-BE"/>
        </w:rPr>
      </w:pPr>
    </w:p>
    <w:p w14:paraId="35D76164" w14:textId="04B4D3B7" w:rsidR="00D31B59" w:rsidRPr="008B429A" w:rsidRDefault="00D31B59" w:rsidP="00D31B59">
      <w:pPr>
        <w:rPr>
          <w:lang w:val="nl-BE"/>
        </w:rPr>
      </w:pPr>
      <w:r w:rsidRPr="008B429A">
        <w:rPr>
          <w:lang w:val="nl-BE"/>
        </w:rPr>
        <w:t>Bovendien heeft de COM benadrukt dat overweging 9 ook verwijst naar verschillende vormen van cybergeweld, zoals online seksuele intimidatie en cyberpesten.</w:t>
      </w:r>
    </w:p>
    <w:p w14:paraId="22C00FCC" w14:textId="77777777" w:rsidR="00D31B59" w:rsidRPr="008B429A" w:rsidRDefault="00D31B59" w:rsidP="00D31B59">
      <w:pPr>
        <w:rPr>
          <w:lang w:val="nl-BE"/>
        </w:rPr>
      </w:pPr>
      <w:r w:rsidRPr="008B429A">
        <w:rPr>
          <w:lang w:val="nl-BE"/>
        </w:rPr>
        <w:t>Wat huiselijk geweld betreft, heeft de COM benadrukt dat dit een vorm van geweld is die specifiek strafbaar kan worden gesteld door het nationale recht of kan vallen onder strafbare feiten die worden gepleegd binnen het gezin of het huishouden of tussen voormalige of huidige echtgenoten of partners, ongeacht of zij al dan niet in hetzelfde huishouden wonen.</w:t>
      </w:r>
    </w:p>
    <w:p w14:paraId="3D2AD01D" w14:textId="77777777" w:rsidR="00D31B59" w:rsidRPr="008B429A" w:rsidRDefault="00D31B59" w:rsidP="00D31B59">
      <w:pPr>
        <w:rPr>
          <w:lang w:val="nl-BE"/>
        </w:rPr>
      </w:pPr>
      <w:r w:rsidRPr="008B429A">
        <w:rPr>
          <w:lang w:val="nl-BE"/>
        </w:rPr>
        <w:t>De bovengenoemde misdrijven kunnen worden beschouwd als de "gemeenschappelijke kern" van wat in de EU en in de EU-lidstaten als misdrijven die gelijkstaan aan geweld tegen vrouwen wordt beschouwd.</w:t>
      </w:r>
    </w:p>
    <w:p w14:paraId="2E7EBB8F" w14:textId="77777777" w:rsidR="00D31B59" w:rsidRPr="008B429A" w:rsidRDefault="00D31B59" w:rsidP="00D31B59">
      <w:pPr>
        <w:rPr>
          <w:lang w:val="nl-BE"/>
        </w:rPr>
      </w:pPr>
      <w:r w:rsidRPr="008B429A">
        <w:rPr>
          <w:lang w:val="nl-BE"/>
        </w:rPr>
        <w:t>In overweging 9 wordt eraan herinnerd dat de lidstaten een ruimere opvatting kunnen hanteren van wat onder geweld tegen vrouwen in het kader van het nationale strafrecht wordt verstaan, en wordt benadrukt dat deze richtlijn niet alle strafbare gedragingen omvat die onder geweld tegen vrouwen vallen. De Commissie heeft benadrukt dat de lidstaten in de praktijk, naast deze gemeenschappelijke kern, rekening moeten houden met de</w:t>
      </w:r>
    </w:p>
    <w:p w14:paraId="4EEE1A51" w14:textId="77777777" w:rsidR="00D31B59" w:rsidRPr="008B429A" w:rsidRDefault="00D31B59" w:rsidP="00D31B59">
      <w:pPr>
        <w:rPr>
          <w:lang w:val="nl-BE"/>
        </w:rPr>
      </w:pPr>
      <w:r w:rsidRPr="008B429A">
        <w:rPr>
          <w:lang w:val="nl-BE"/>
        </w:rPr>
        <w:t>4</w:t>
      </w:r>
    </w:p>
    <w:p w14:paraId="1F746633" w14:textId="77777777" w:rsidR="00D31B59" w:rsidRPr="008B429A" w:rsidRDefault="00D31B59" w:rsidP="00D31B59">
      <w:pPr>
        <w:rPr>
          <w:lang w:val="nl-BE"/>
        </w:rPr>
      </w:pPr>
      <w:proofErr w:type="gramStart"/>
      <w:r w:rsidRPr="008B429A">
        <w:rPr>
          <w:lang w:val="nl-BE"/>
        </w:rPr>
        <w:t>fenomeen</w:t>
      </w:r>
      <w:proofErr w:type="gramEnd"/>
      <w:r w:rsidRPr="008B429A">
        <w:rPr>
          <w:lang w:val="nl-BE"/>
        </w:rPr>
        <w:t xml:space="preserve"> in hun eigen lidstaat om de misdrijven in hun strafwetboek te identificeren wanneer het gedrag gericht is tegen een vrouw of een meisje omdat zij een vrouw of een meisje is (bijvoorbeeld gedwongen abortus) of wanneer het onevenredig grote gevolgen heeft voor vrouwen of meisjes (bijvoorbeeld verkrachting). De Commissie heeft verklaard dat er waarschijnlijk een analyse is gemaakt van wat als geweld tegen vrouwen of huiselijk geweld moet worden beschouwd, althans in de lidstaten die partij zijn bij het verdrag, om te voldoen aan de eis van artikel 7 van het verdrag. Net als artikel 38 van de richtlijn </w:t>
      </w:r>
      <w:proofErr w:type="gramStart"/>
      <w:r w:rsidRPr="008B429A">
        <w:rPr>
          <w:lang w:val="nl-BE"/>
        </w:rPr>
        <w:t>inzake</w:t>
      </w:r>
      <w:proofErr w:type="gramEnd"/>
      <w:r w:rsidRPr="008B429A">
        <w:rPr>
          <w:lang w:val="nl-BE"/>
        </w:rPr>
        <w:t xml:space="preserve"> geweld tegen vrouwen verplicht artikel 7 van het verdrag de staten die partij zijn ertoe de nodige wettelijke en andere maatregelen te nemen om op nationaal niveau een doeltreffend, alomvattend en gecoördineerd beleid vast te stellen en uit te voeren ter voorkoming en bestrijding van alle vormen van geweld die onder het toepassingsgebied van het verdrag vallen. [Artikel 2 van het Verdrag definieert het toepassingsgebied ervan door te verwijzen naar " alle vormen van geweld tegen vrouwen, met </w:t>
      </w:r>
      <w:r w:rsidRPr="008B429A">
        <w:rPr>
          <w:lang w:val="nl-BE"/>
        </w:rPr>
        <w:lastRenderedPageBreak/>
        <w:t>inbegrip van huiselijk geweld, die onevenredig veel vrouwen treffen"] – en een alomvattende aanpak van geweld tegen vrouwen te ontwikkelen.</w:t>
      </w:r>
    </w:p>
    <w:p w14:paraId="4F818506" w14:textId="77777777" w:rsidR="00D31B59" w:rsidRPr="008B429A" w:rsidRDefault="00D31B59" w:rsidP="00D31B59">
      <w:pPr>
        <w:rPr>
          <w:lang w:val="nl-BE"/>
        </w:rPr>
      </w:pPr>
      <w:r w:rsidRPr="008B429A">
        <w:rPr>
          <w:lang w:val="nl-BE"/>
        </w:rPr>
        <w:t>Er kunnen gevallen blijven bestaan, zo benadrukte de COM, waarin pas in een later stadium, bijvoorbeeld tijdens het proces, blijkt dat een bepaald misdrijf onder de definitie van geweld tegen vrouwen valt. Zodra het genderaspect wordt onderkend, moet het slachtoffer alle steun, bescherming enz. krijgen die de richtlijn voorschrijft.</w:t>
      </w:r>
    </w:p>
    <w:p w14:paraId="36D9107F" w14:textId="77777777" w:rsidR="00D31B59" w:rsidRPr="008B429A" w:rsidRDefault="00D31B59" w:rsidP="00D31B59">
      <w:pPr>
        <w:rPr>
          <w:lang w:val="nl-BE"/>
        </w:rPr>
      </w:pPr>
      <w:r w:rsidRPr="008B429A">
        <w:rPr>
          <w:lang w:val="nl-BE"/>
        </w:rPr>
        <w:t>Hoewel de interpretatie van de richtlijn enerzijds enig voorbereidend werk vereist, biedt zij anderzijds een belangrijk voordeel: zij garandeert dat de richtlijn een toekomstbestendig instrument blijft. Als er in de toekomst nieuwe vormen van geweld tegen vrouwen ontstaan – denk bijvoorbeeld aan cybergeweld – zullen de in de richtlijn voorziene maatregelen ook op deze nieuwe vormen van geweld tegen vrouwen van toepassing zijn, zonder dat het toepassingsgebied van de richtlijn hoeft te worden gewijzigd.</w:t>
      </w:r>
    </w:p>
    <w:p w14:paraId="405A9F65" w14:textId="77777777" w:rsidR="00D31B59" w:rsidRPr="008B429A" w:rsidRDefault="00D31B59" w:rsidP="00D31B59">
      <w:pPr>
        <w:rPr>
          <w:lang w:val="nl-BE"/>
        </w:rPr>
      </w:pPr>
      <w:r w:rsidRPr="008B429A">
        <w:rPr>
          <w:lang w:val="nl-BE"/>
        </w:rPr>
        <w:t xml:space="preserve">Er is de vraag gerezen of de misdrijven van geweld tegen vrouwen die in andere EU-besluiten dan de richtlijn </w:t>
      </w:r>
      <w:proofErr w:type="gramStart"/>
      <w:r w:rsidRPr="008B429A">
        <w:rPr>
          <w:lang w:val="nl-BE"/>
        </w:rPr>
        <w:t>inzake</w:t>
      </w:r>
      <w:proofErr w:type="gramEnd"/>
      <w:r w:rsidRPr="008B429A">
        <w:rPr>
          <w:lang w:val="nl-BE"/>
        </w:rPr>
        <w:t xml:space="preserve"> geweld tegen vrouwen zijn gedefinieerd, volledig zijn opgenomen in de verklaring </w:t>
      </w:r>
      <w:proofErr w:type="gramStart"/>
      <w:r w:rsidRPr="008B429A">
        <w:rPr>
          <w:lang w:val="nl-BE"/>
        </w:rPr>
        <w:t>betreffende</w:t>
      </w:r>
      <w:proofErr w:type="gramEnd"/>
      <w:r w:rsidRPr="008B429A">
        <w:rPr>
          <w:lang w:val="nl-BE"/>
        </w:rPr>
        <w:t xml:space="preserve"> de bevoegdheid van </w:t>
      </w:r>
      <w:proofErr w:type="spellStart"/>
      <w:r w:rsidRPr="008B429A">
        <w:rPr>
          <w:lang w:val="nl-BE"/>
        </w:rPr>
        <w:t>deEuropese</w:t>
      </w:r>
      <w:proofErr w:type="spellEnd"/>
      <w:r w:rsidRPr="008B429A">
        <w:rPr>
          <w:lang w:val="nl-BE"/>
        </w:rPr>
        <w:t xml:space="preserve"> Unie op de gebieden die onder het Verdrag van de Raad van Europa </w:t>
      </w:r>
      <w:proofErr w:type="gramStart"/>
      <w:r w:rsidRPr="008B429A">
        <w:rPr>
          <w:lang w:val="nl-BE"/>
        </w:rPr>
        <w:t>inzake</w:t>
      </w:r>
      <w:proofErr w:type="gramEnd"/>
      <w:r w:rsidRPr="008B429A">
        <w:rPr>
          <w:lang w:val="nl-BE"/>
        </w:rPr>
        <w:t xml:space="preserve"> het voorkomen en bestrijden van geweld tegen vrouwen en huiselijk geweld vallen.</w:t>
      </w:r>
    </w:p>
    <w:p w14:paraId="6FA1B590" w14:textId="77777777" w:rsidR="00D31B59" w:rsidRPr="008B429A" w:rsidRDefault="00D31B59" w:rsidP="00D31B59">
      <w:pPr>
        <w:rPr>
          <w:lang w:val="nl-BE"/>
        </w:rPr>
      </w:pPr>
      <w:r w:rsidRPr="008B429A">
        <w:rPr>
          <w:lang w:val="nl-BE"/>
        </w:rPr>
        <w:t>De Commissie heeft verduidelijkt dat er geen verband bestaat met de bevoegdheidsverklaring. De bevoegdheid van de Unie om een richtlijn vast te stellen op het gebied van justitiële samenwerking in strafzaken is vastgelegd in artikel 83 VWEU en beperkt zich tot de tien in dat artikel genoemde strafbare feiten, waaronder:</w:t>
      </w:r>
    </w:p>
    <w:p w14:paraId="29BF4748" w14:textId="77777777" w:rsidR="00D31B59" w:rsidRPr="008B429A" w:rsidRDefault="00D31B59" w:rsidP="00D31B59">
      <w:pPr>
        <w:rPr>
          <w:lang w:val="nl-BE"/>
        </w:rPr>
      </w:pPr>
      <w:proofErr w:type="gramStart"/>
      <w:r w:rsidRPr="008B429A">
        <w:rPr>
          <w:lang w:val="nl-BE"/>
        </w:rPr>
        <w:t>o</w:t>
      </w:r>
      <w:proofErr w:type="gramEnd"/>
    </w:p>
    <w:p w14:paraId="2A1E5346" w14:textId="77777777" w:rsidR="00D31B59" w:rsidRPr="008B429A" w:rsidRDefault="00D31B59" w:rsidP="00D31B59">
      <w:pPr>
        <w:rPr>
          <w:lang w:val="nl-BE"/>
        </w:rPr>
      </w:pPr>
      <w:r w:rsidRPr="008B429A">
        <w:rPr>
          <w:lang w:val="nl-BE"/>
        </w:rPr>
        <w:t xml:space="preserve">"seksuele uitbuiting van vrouwen en kinderen", dat als rechtsgrondslag heeft gediend voor de vaststelling van de richtlijn </w:t>
      </w:r>
      <w:proofErr w:type="gramStart"/>
      <w:r w:rsidRPr="008B429A">
        <w:rPr>
          <w:lang w:val="nl-BE"/>
        </w:rPr>
        <w:t>inzake</w:t>
      </w:r>
      <w:proofErr w:type="gramEnd"/>
      <w:r w:rsidRPr="008B429A">
        <w:rPr>
          <w:lang w:val="nl-BE"/>
        </w:rPr>
        <w:t xml:space="preserve"> seksueel misbruik van kinderen (Richtlijn 2011/93/EU) en voor de strafbaarstelling van genitale verminking van vrouwen en gedwongen huwelijken in de richtlijn </w:t>
      </w:r>
      <w:proofErr w:type="gramStart"/>
      <w:r w:rsidRPr="008B429A">
        <w:rPr>
          <w:lang w:val="nl-BE"/>
        </w:rPr>
        <w:t>inzake</w:t>
      </w:r>
      <w:proofErr w:type="gramEnd"/>
      <w:r w:rsidRPr="008B429A">
        <w:rPr>
          <w:lang w:val="nl-BE"/>
        </w:rPr>
        <w:t xml:space="preserve"> geweld tegen vrouwen,</w:t>
      </w:r>
    </w:p>
    <w:p w14:paraId="686D6E28" w14:textId="77777777" w:rsidR="00D31B59" w:rsidRPr="008B429A" w:rsidRDefault="00D31B59" w:rsidP="00D31B59">
      <w:pPr>
        <w:rPr>
          <w:lang w:val="nl-BE"/>
        </w:rPr>
      </w:pPr>
      <w:proofErr w:type="gramStart"/>
      <w:r w:rsidRPr="008B429A">
        <w:rPr>
          <w:lang w:val="nl-BE"/>
        </w:rPr>
        <w:t>o</w:t>
      </w:r>
      <w:proofErr w:type="gramEnd"/>
    </w:p>
    <w:p w14:paraId="4927EA8B" w14:textId="77777777" w:rsidR="00D31B59" w:rsidRPr="008B429A" w:rsidRDefault="00D31B59" w:rsidP="00D31B59">
      <w:pPr>
        <w:rPr>
          <w:lang w:val="nl-BE"/>
        </w:rPr>
      </w:pPr>
      <w:r w:rsidRPr="008B429A">
        <w:rPr>
          <w:lang w:val="nl-BE"/>
        </w:rPr>
        <w:lastRenderedPageBreak/>
        <w:t xml:space="preserve">"mensenhandel", dat als rechtsgrondslag heeft gediend voor de vaststelling van Richtlijn 2011/36/EU </w:t>
      </w:r>
      <w:proofErr w:type="gramStart"/>
      <w:r w:rsidRPr="008B429A">
        <w:rPr>
          <w:lang w:val="nl-BE"/>
        </w:rPr>
        <w:t>inzake</w:t>
      </w:r>
      <w:proofErr w:type="gramEnd"/>
      <w:r w:rsidRPr="008B429A">
        <w:rPr>
          <w:lang w:val="nl-BE"/>
        </w:rPr>
        <w:t xml:space="preserve"> de bestrijding van mensenhandel (thans gewijzigd bij Richtlijn 2024/1712); en</w:t>
      </w:r>
    </w:p>
    <w:p w14:paraId="1B5DB38F" w14:textId="77777777" w:rsidR="00D31B59" w:rsidRPr="008B429A" w:rsidRDefault="00D31B59" w:rsidP="00D31B59">
      <w:pPr>
        <w:rPr>
          <w:lang w:val="nl-BE"/>
        </w:rPr>
      </w:pPr>
      <w:proofErr w:type="gramStart"/>
      <w:r w:rsidRPr="008B429A">
        <w:rPr>
          <w:lang w:val="nl-BE"/>
        </w:rPr>
        <w:t>o</w:t>
      </w:r>
      <w:proofErr w:type="gramEnd"/>
    </w:p>
    <w:p w14:paraId="74BE3F5A" w14:textId="77777777" w:rsidR="00D31B59" w:rsidRPr="008B429A" w:rsidRDefault="00D31B59" w:rsidP="00D31B59">
      <w:pPr>
        <w:rPr>
          <w:lang w:val="nl-BE"/>
        </w:rPr>
      </w:pPr>
      <w:r w:rsidRPr="008B429A">
        <w:rPr>
          <w:lang w:val="nl-BE"/>
        </w:rPr>
        <w:t xml:space="preserve">"computercriminaliteit", die de rechtsgrondslag vormt voor de strafbaarstelling van cybercriminaliteit in de richtlijn </w:t>
      </w:r>
      <w:proofErr w:type="gramStart"/>
      <w:r w:rsidRPr="008B429A">
        <w:rPr>
          <w:lang w:val="nl-BE"/>
        </w:rPr>
        <w:t>inzake</w:t>
      </w:r>
      <w:proofErr w:type="gramEnd"/>
      <w:r w:rsidRPr="008B429A">
        <w:rPr>
          <w:lang w:val="nl-BE"/>
        </w:rPr>
        <w:t xml:space="preserve"> geweld tegen vrouwen.</w:t>
      </w:r>
    </w:p>
    <w:p w14:paraId="419147B2" w14:textId="77777777" w:rsidR="00D31B59" w:rsidRPr="008B429A" w:rsidRDefault="00D31B59" w:rsidP="00D31B59">
      <w:pPr>
        <w:rPr>
          <w:lang w:val="nl-BE"/>
        </w:rPr>
      </w:pPr>
      <w:r w:rsidRPr="008B429A">
        <w:rPr>
          <w:lang w:val="nl-BE"/>
        </w:rPr>
        <w:t>5</w:t>
      </w:r>
    </w:p>
    <w:p w14:paraId="7D7855FF" w14:textId="77777777" w:rsidR="00D31B59" w:rsidRPr="008B429A" w:rsidRDefault="00D31B59" w:rsidP="00D31B59">
      <w:pPr>
        <w:rPr>
          <w:lang w:val="nl-BE"/>
        </w:rPr>
      </w:pPr>
      <w:r w:rsidRPr="008B429A">
        <w:rPr>
          <w:lang w:val="nl-BE"/>
        </w:rPr>
        <w:t>Niets belet de wetgevers van de Unie om in de toekomst nieuwe richtlijnen vast te stellen waarin nieuwe strafbare feiten en sancties worden gedefinieerd op het gebied van de in artikel 83 VWEU omschreven misdrijven.</w:t>
      </w:r>
    </w:p>
    <w:p w14:paraId="0C880BC7" w14:textId="77777777" w:rsidR="00D31B59" w:rsidRPr="008B429A" w:rsidRDefault="00D31B59" w:rsidP="00D31B59">
      <w:pPr>
        <w:rPr>
          <w:lang w:val="nl-BE"/>
        </w:rPr>
      </w:pPr>
      <w:r w:rsidRPr="008B429A">
        <w:rPr>
          <w:lang w:val="nl-BE"/>
        </w:rPr>
        <w:t>Als de Unie bijvoorbeeld een nieuwe richtlijn zou aannemen waarin minimumnormen voor de definitie van cyberpesten worden vastgesteld, zouden slachtoffers van deze misdrijven kunnen profiteren van de rechten en maatregelen waarin de hoofdstukken 3 tot en met 7 van de richtlijn voorzien.</w:t>
      </w:r>
    </w:p>
    <w:p w14:paraId="5A3899BF" w14:textId="77777777" w:rsidR="00D31B59" w:rsidRPr="008B429A" w:rsidRDefault="00D31B59" w:rsidP="00D31B59">
      <w:pPr>
        <w:rPr>
          <w:lang w:val="nl-BE"/>
        </w:rPr>
      </w:pPr>
      <w:r w:rsidRPr="008B429A">
        <w:rPr>
          <w:lang w:val="nl-BE"/>
        </w:rPr>
        <w:t>[In de bevoegdheidsverklaring zelf staat dat "de reikwijdte en de uitoefening van de bevoegdheden van de Unie van nature voortdurend aan verandering onderhevig zijn. Indien nodig zal de Unie deze verklaring aanvullen of wijzigen, met name om de lijst van relevante door de Unie vastgestelde besluiten in de bijlage bij deze verklaring bij te werken" (zie punt 6).]</w:t>
      </w:r>
    </w:p>
    <w:p w14:paraId="486F2707" w14:textId="77777777" w:rsidR="00D31B59" w:rsidRPr="008B429A" w:rsidRDefault="00D31B59" w:rsidP="00D31B59">
      <w:pPr>
        <w:rPr>
          <w:lang w:val="nl-BE"/>
        </w:rPr>
      </w:pPr>
      <w:r w:rsidRPr="008B429A">
        <w:rPr>
          <w:lang w:val="nl-BE"/>
        </w:rPr>
        <w:t xml:space="preserve">IT heeft gevraagd hoe de Italiaanse wetgever het toepassingsgebied van de richtlijn moet beoordelen. In november jongstleden heeft de Italiaanse regering een wetsontwerp ingediend om </w:t>
      </w:r>
      <w:proofErr w:type="spellStart"/>
      <w:r w:rsidRPr="008B429A">
        <w:rPr>
          <w:lang w:val="nl-BE"/>
        </w:rPr>
        <w:t>feminicide</w:t>
      </w:r>
      <w:proofErr w:type="spellEnd"/>
      <w:r w:rsidRPr="008B429A">
        <w:rPr>
          <w:lang w:val="nl-BE"/>
        </w:rPr>
        <w:t xml:space="preserve"> als misdrijf in te voeren. De vertegenwoordiger vroeg zich af op welke wijze de richtlijn door de Italiaanse wetgever in aanmerking moet worden genomen bij de afronding van deze invoering van </w:t>
      </w:r>
      <w:proofErr w:type="spellStart"/>
      <w:r w:rsidRPr="008B429A">
        <w:rPr>
          <w:lang w:val="nl-BE"/>
        </w:rPr>
        <w:t>feminicide</w:t>
      </w:r>
      <w:proofErr w:type="spellEnd"/>
      <w:r w:rsidRPr="008B429A">
        <w:rPr>
          <w:lang w:val="nl-BE"/>
        </w:rPr>
        <w:t xml:space="preserve"> in het Italiaanse wetboek van strafrecht.</w:t>
      </w:r>
    </w:p>
    <w:p w14:paraId="6B390DEF" w14:textId="77777777" w:rsidR="00D31B59" w:rsidRPr="008B429A" w:rsidRDefault="00D31B59" w:rsidP="00D31B59">
      <w:pPr>
        <w:rPr>
          <w:lang w:val="nl-BE"/>
        </w:rPr>
      </w:pPr>
      <w:r w:rsidRPr="008B429A">
        <w:rPr>
          <w:lang w:val="nl-BE"/>
        </w:rPr>
        <w:t>De COM heeft verduidelijkt dat de richtlijn zelf slechts een beperkt aantal misdrijven strafbaar stelt die "geweld tegen vrouwen" vormen, zoals gedefinieerd in de richtlijn, en dat de nationale wetgevingen een veel breder scala aan misdrijven omvatten die onder deze definitie vallen. Gezien de opzet van het toepassingsgebied van de richtlijn zullen de in de richtlijn voorziene maatregelen ter ondersteuning, bescherming en toegang tot de rechter echter ook ten goede komen aan slachtoffers van misdrijven van geweld tegen vrouwen zoals gedefinieerd in het nationale recht.</w:t>
      </w:r>
    </w:p>
    <w:p w14:paraId="06D8743A" w14:textId="77777777" w:rsidR="00D31B59" w:rsidRPr="008B429A" w:rsidRDefault="00D31B59" w:rsidP="00D31B59">
      <w:pPr>
        <w:rPr>
          <w:lang w:val="nl-BE"/>
        </w:rPr>
      </w:pPr>
      <w:r w:rsidRPr="008B429A">
        <w:rPr>
          <w:lang w:val="nl-BE"/>
        </w:rPr>
        <w:lastRenderedPageBreak/>
        <w:t xml:space="preserve">Hongarije heeft gevraagd of de Commissie bij het opstellen en onderhandelen van de richtlijn rekening heeft gehouden met de regeling in de richtlijn </w:t>
      </w:r>
      <w:proofErr w:type="gramStart"/>
      <w:r w:rsidRPr="008B429A">
        <w:rPr>
          <w:lang w:val="nl-BE"/>
        </w:rPr>
        <w:t>inzake</w:t>
      </w:r>
      <w:proofErr w:type="gramEnd"/>
      <w:r w:rsidRPr="008B429A">
        <w:rPr>
          <w:lang w:val="nl-BE"/>
        </w:rPr>
        <w:t xml:space="preserve"> de rechten van slachtoffers en of in het voorstel tot wijziging van die richtlijn rekening is gehouden met de regeling in de richtlijn </w:t>
      </w:r>
      <w:proofErr w:type="gramStart"/>
      <w:r w:rsidRPr="008B429A">
        <w:rPr>
          <w:lang w:val="nl-BE"/>
        </w:rPr>
        <w:t>inzake</w:t>
      </w:r>
      <w:proofErr w:type="gramEnd"/>
      <w:r w:rsidRPr="008B429A">
        <w:rPr>
          <w:lang w:val="nl-BE"/>
        </w:rPr>
        <w:t xml:space="preserve"> geweld tegen vrouwen, zodat de uitvoeringsvereisten verenigbaar zijn.</w:t>
      </w:r>
    </w:p>
    <w:p w14:paraId="38EF85D9" w14:textId="77777777" w:rsidR="00D31B59" w:rsidRPr="008B429A" w:rsidRDefault="00D31B59" w:rsidP="00D31B59">
      <w:pPr>
        <w:rPr>
          <w:lang w:val="nl-BE"/>
        </w:rPr>
      </w:pPr>
      <w:r w:rsidRPr="008B429A">
        <w:rPr>
          <w:lang w:val="nl-BE"/>
        </w:rPr>
        <w:t xml:space="preserve">De Commissie heeft het verband tussen deze richtlijn en de richtlijn </w:t>
      </w:r>
      <w:proofErr w:type="gramStart"/>
      <w:r w:rsidRPr="008B429A">
        <w:rPr>
          <w:lang w:val="nl-BE"/>
        </w:rPr>
        <w:t>inzake</w:t>
      </w:r>
      <w:proofErr w:type="gramEnd"/>
      <w:r w:rsidRPr="008B429A">
        <w:rPr>
          <w:lang w:val="nl-BE"/>
        </w:rPr>
        <w:t xml:space="preserve"> de rechten van slachtoffers bevestigd. De richtlijn </w:t>
      </w:r>
      <w:proofErr w:type="gramStart"/>
      <w:r w:rsidRPr="008B429A">
        <w:rPr>
          <w:lang w:val="nl-BE"/>
        </w:rPr>
        <w:t>inzake</w:t>
      </w:r>
      <w:proofErr w:type="gramEnd"/>
      <w:r w:rsidRPr="008B429A">
        <w:rPr>
          <w:lang w:val="nl-BE"/>
        </w:rPr>
        <w:t xml:space="preserve"> de rechten van slachtoffers is het algemene kader dat van toepassing is op alle soorten slachtoffers van strafbare feiten, met inbegrip van slachtoffers van geweld tegen vrouwen. Het doel van de richtlijn </w:t>
      </w:r>
      <w:proofErr w:type="gramStart"/>
      <w:r w:rsidRPr="008B429A">
        <w:rPr>
          <w:lang w:val="nl-BE"/>
        </w:rPr>
        <w:t>inzake</w:t>
      </w:r>
      <w:proofErr w:type="gramEnd"/>
      <w:r w:rsidRPr="008B429A">
        <w:rPr>
          <w:lang w:val="nl-BE"/>
        </w:rPr>
        <w:t xml:space="preserve"> geweld tegen vrouwen en huiselijk geweld is een specifieke regeling van gespecialiseerde maatregelen tot stand te brengen die tegemoetkomt aan de bijzondere behoeften van deze groep slachtoffers. Nu de voorgestelde herziening van de richtlijn </w:t>
      </w:r>
      <w:proofErr w:type="gramStart"/>
      <w:r w:rsidRPr="008B429A">
        <w:rPr>
          <w:lang w:val="nl-BE"/>
        </w:rPr>
        <w:t>inzake</w:t>
      </w:r>
      <w:proofErr w:type="gramEnd"/>
      <w:r w:rsidRPr="008B429A">
        <w:rPr>
          <w:lang w:val="nl-BE"/>
        </w:rPr>
        <w:t xml:space="preserve"> de rechten van slachtoffers door de medewetgevers wordt besproken, is het aan hen om te beslissen of zij bepaalde maatregelen van de richtlijn </w:t>
      </w:r>
      <w:proofErr w:type="gramStart"/>
      <w:r w:rsidRPr="008B429A">
        <w:rPr>
          <w:lang w:val="nl-BE"/>
        </w:rPr>
        <w:t>inzake</w:t>
      </w:r>
      <w:proofErr w:type="gramEnd"/>
      <w:r w:rsidRPr="008B429A">
        <w:rPr>
          <w:lang w:val="nl-BE"/>
        </w:rPr>
        <w:t xml:space="preserve"> geweld tegen vrouwen willen uitbreiden tot andere categorieën slachtoffers van strafbare feiten of tot alle slachtoffers van strafbare feiten, ook als deze feiten niet op grond van geslacht zijn gepleegd. Dubbele verplichtingen moeten echter zoveel mogelijk worden vermeden.</w:t>
      </w:r>
    </w:p>
    <w:p w14:paraId="57EEB930" w14:textId="77777777" w:rsidR="00D31B59" w:rsidRPr="008B429A" w:rsidRDefault="00D31B59" w:rsidP="00D31B59">
      <w:pPr>
        <w:rPr>
          <w:lang w:val="nl-BE"/>
        </w:rPr>
      </w:pPr>
      <w:r w:rsidRPr="008B429A">
        <w:rPr>
          <w:lang w:val="nl-BE"/>
        </w:rPr>
        <w:t xml:space="preserve">PL stelde een vraag over het verband tussen </w:t>
      </w:r>
      <w:proofErr w:type="spellStart"/>
      <w:r w:rsidRPr="008B429A">
        <w:rPr>
          <w:lang w:val="nl-BE"/>
        </w:rPr>
        <w:t>feminicide</w:t>
      </w:r>
      <w:proofErr w:type="spellEnd"/>
      <w:r w:rsidRPr="008B429A">
        <w:rPr>
          <w:lang w:val="nl-BE"/>
        </w:rPr>
        <w:t xml:space="preserve"> en de moord op een transgendervrouw, en vroeg of deze laatste als moord zou worden aangemerkt en wat er moest worden gedaan om de consistentie te waarborgen.</w:t>
      </w:r>
    </w:p>
    <w:p w14:paraId="7C433ABA" w14:textId="77777777" w:rsidR="00D31B59" w:rsidRPr="008B429A" w:rsidRDefault="00D31B59" w:rsidP="00D31B59">
      <w:pPr>
        <w:rPr>
          <w:lang w:val="nl-BE"/>
        </w:rPr>
      </w:pPr>
      <w:r w:rsidRPr="008B429A">
        <w:rPr>
          <w:lang w:val="nl-BE"/>
        </w:rPr>
        <w:t>6</w:t>
      </w:r>
    </w:p>
    <w:p w14:paraId="1B6B3B6D" w14:textId="3A30FF09" w:rsidR="007876C9" w:rsidRPr="008B429A" w:rsidRDefault="00D31B59" w:rsidP="00D31B59">
      <w:pPr>
        <w:rPr>
          <w:lang w:val="nl-BE"/>
        </w:rPr>
      </w:pPr>
      <w:r w:rsidRPr="008B429A">
        <w:rPr>
          <w:lang w:val="nl-BE"/>
        </w:rPr>
        <w:t xml:space="preserve">COM benadrukte dat het misdrijf </w:t>
      </w:r>
      <w:proofErr w:type="spellStart"/>
      <w:r w:rsidRPr="008B429A">
        <w:rPr>
          <w:lang w:val="nl-BE"/>
        </w:rPr>
        <w:t>feminicide</w:t>
      </w:r>
      <w:proofErr w:type="spellEnd"/>
      <w:r w:rsidRPr="008B429A">
        <w:rPr>
          <w:lang w:val="nl-BE"/>
        </w:rPr>
        <w:t xml:space="preserve"> niet op EU-niveau is gedefinieerd, maar dat als deze persoon vanwege haar geslacht wordt vermoord, dit als </w:t>
      </w:r>
      <w:proofErr w:type="spellStart"/>
      <w:r w:rsidRPr="008B429A">
        <w:rPr>
          <w:lang w:val="nl-BE"/>
        </w:rPr>
        <w:t>feminicide</w:t>
      </w:r>
      <w:proofErr w:type="spellEnd"/>
      <w:r w:rsidRPr="008B429A">
        <w:rPr>
          <w:lang w:val="nl-BE"/>
        </w:rPr>
        <w:t xml:space="preserve"> zou worden aangemerkt, omdat het om geweld tegen vrouwen gaat.</w:t>
      </w:r>
    </w:p>
    <w:p w14:paraId="0463EBA3" w14:textId="2C7EF343" w:rsidR="002A59A5" w:rsidRPr="008B429A" w:rsidRDefault="002A59A5" w:rsidP="00D31B59">
      <w:pPr>
        <w:rPr>
          <w:lang w:val="nl-BE"/>
        </w:rPr>
      </w:pPr>
    </w:p>
    <w:sectPr w:rsidR="002A59A5" w:rsidRPr="008B429A" w:rsidSect="008623F2">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len De Pauw (Instituut voor de gelijkheid - Institut pour l'égalité)" w:date="2025-07-25T14:43:00Z" w:initials="El">
    <w:p w14:paraId="29F9C519" w14:textId="77777777" w:rsidR="00677055" w:rsidRDefault="00677055" w:rsidP="00677055">
      <w:pPr>
        <w:pStyle w:val="Commentaire"/>
      </w:pPr>
      <w:r>
        <w:rPr>
          <w:rStyle w:val="Marquedecommentaire"/>
          <w:rFonts w:eastAsiaTheme="majorEastAsia"/>
        </w:rPr>
        <w:annotationRef/>
      </w:r>
      <w:r w:rsidRPr="3003CF5C">
        <w:t>Ook IGVM toevoegen in het kader van 'gendergevoelig'</w:t>
      </w:r>
    </w:p>
  </w:comment>
  <w:comment w:id="1" w:author="Ellen De Pauw (Instituut voor de gelijkheid - Institut pour l'égalité)" w:date="2025-07-25T14:48:00Z" w:initials="El">
    <w:p w14:paraId="6E0B25CC" w14:textId="77777777" w:rsidR="00677055" w:rsidRDefault="00677055" w:rsidP="00677055">
      <w:pPr>
        <w:pStyle w:val="Commentaire"/>
      </w:pPr>
      <w:r>
        <w:rPr>
          <w:rStyle w:val="Marquedecommentaire"/>
          <w:rFonts w:eastAsiaTheme="majorEastAsia"/>
        </w:rPr>
        <w:annotationRef/>
      </w:r>
      <w:r w:rsidRPr="5315EED3">
        <w:t>IGVM toevoegen voor ZSG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F9C519" w15:done="0"/>
  <w15:commentEx w15:paraId="6E0B25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0FFD7" w16cex:dateUtc="2025-07-25T12:43:00Z"/>
  <w16cex:commentExtensible w16cex:durableId="05BD40B9" w16cex:dateUtc="2025-07-25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F9C519" w16cid:durableId="0700FFD7"/>
  <w16cid:commentId w16cid:paraId="6E0B25CC" w16cid:durableId="05BD40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C475" w14:textId="77777777" w:rsidR="002A59A5" w:rsidRDefault="002A59A5" w:rsidP="002A59A5">
      <w:pPr>
        <w:spacing w:after="0" w:line="240" w:lineRule="auto"/>
      </w:pPr>
      <w:r>
        <w:separator/>
      </w:r>
    </w:p>
  </w:endnote>
  <w:endnote w:type="continuationSeparator" w:id="0">
    <w:p w14:paraId="21B05967" w14:textId="77777777" w:rsidR="002A59A5" w:rsidRDefault="002A59A5" w:rsidP="002A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C202" w14:textId="77777777" w:rsidR="002A59A5" w:rsidRDefault="002A59A5" w:rsidP="002A59A5">
      <w:pPr>
        <w:spacing w:after="0" w:line="240" w:lineRule="auto"/>
      </w:pPr>
      <w:r>
        <w:separator/>
      </w:r>
    </w:p>
  </w:footnote>
  <w:footnote w:type="continuationSeparator" w:id="0">
    <w:p w14:paraId="23203D7A" w14:textId="77777777" w:rsidR="002A59A5" w:rsidRDefault="002A59A5" w:rsidP="002A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8F8"/>
    <w:multiLevelType w:val="multilevel"/>
    <w:tmpl w:val="33662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6AC15CD"/>
    <w:multiLevelType w:val="hybridMultilevel"/>
    <w:tmpl w:val="15524888"/>
    <w:lvl w:ilvl="0" w:tplc="0310F768">
      <w:start w:val="1"/>
      <w:numFmt w:val="bullet"/>
      <w:lvlText w:val="•"/>
      <w:lvlJc w:val="left"/>
      <w:pPr>
        <w:tabs>
          <w:tab w:val="num" w:pos="720"/>
        </w:tabs>
        <w:ind w:left="720" w:hanging="360"/>
      </w:pPr>
      <w:rPr>
        <w:rFonts w:ascii="Arial" w:hAnsi="Arial" w:hint="default"/>
      </w:rPr>
    </w:lvl>
    <w:lvl w:ilvl="1" w:tplc="FB243928" w:tentative="1">
      <w:start w:val="1"/>
      <w:numFmt w:val="bullet"/>
      <w:lvlText w:val="•"/>
      <w:lvlJc w:val="left"/>
      <w:pPr>
        <w:tabs>
          <w:tab w:val="num" w:pos="1440"/>
        </w:tabs>
        <w:ind w:left="1440" w:hanging="360"/>
      </w:pPr>
      <w:rPr>
        <w:rFonts w:ascii="Arial" w:hAnsi="Arial" w:hint="default"/>
      </w:rPr>
    </w:lvl>
    <w:lvl w:ilvl="2" w:tplc="10003E9A" w:tentative="1">
      <w:start w:val="1"/>
      <w:numFmt w:val="bullet"/>
      <w:lvlText w:val="•"/>
      <w:lvlJc w:val="left"/>
      <w:pPr>
        <w:tabs>
          <w:tab w:val="num" w:pos="2160"/>
        </w:tabs>
        <w:ind w:left="2160" w:hanging="360"/>
      </w:pPr>
      <w:rPr>
        <w:rFonts w:ascii="Arial" w:hAnsi="Arial" w:hint="default"/>
      </w:rPr>
    </w:lvl>
    <w:lvl w:ilvl="3" w:tplc="2E503382" w:tentative="1">
      <w:start w:val="1"/>
      <w:numFmt w:val="bullet"/>
      <w:lvlText w:val="•"/>
      <w:lvlJc w:val="left"/>
      <w:pPr>
        <w:tabs>
          <w:tab w:val="num" w:pos="2880"/>
        </w:tabs>
        <w:ind w:left="2880" w:hanging="360"/>
      </w:pPr>
      <w:rPr>
        <w:rFonts w:ascii="Arial" w:hAnsi="Arial" w:hint="default"/>
      </w:rPr>
    </w:lvl>
    <w:lvl w:ilvl="4" w:tplc="8B4089CC" w:tentative="1">
      <w:start w:val="1"/>
      <w:numFmt w:val="bullet"/>
      <w:lvlText w:val="•"/>
      <w:lvlJc w:val="left"/>
      <w:pPr>
        <w:tabs>
          <w:tab w:val="num" w:pos="3600"/>
        </w:tabs>
        <w:ind w:left="3600" w:hanging="360"/>
      </w:pPr>
      <w:rPr>
        <w:rFonts w:ascii="Arial" w:hAnsi="Arial" w:hint="default"/>
      </w:rPr>
    </w:lvl>
    <w:lvl w:ilvl="5" w:tplc="EE5869F6" w:tentative="1">
      <w:start w:val="1"/>
      <w:numFmt w:val="bullet"/>
      <w:lvlText w:val="•"/>
      <w:lvlJc w:val="left"/>
      <w:pPr>
        <w:tabs>
          <w:tab w:val="num" w:pos="4320"/>
        </w:tabs>
        <w:ind w:left="4320" w:hanging="360"/>
      </w:pPr>
      <w:rPr>
        <w:rFonts w:ascii="Arial" w:hAnsi="Arial" w:hint="default"/>
      </w:rPr>
    </w:lvl>
    <w:lvl w:ilvl="6" w:tplc="681ED46A" w:tentative="1">
      <w:start w:val="1"/>
      <w:numFmt w:val="bullet"/>
      <w:lvlText w:val="•"/>
      <w:lvlJc w:val="left"/>
      <w:pPr>
        <w:tabs>
          <w:tab w:val="num" w:pos="5040"/>
        </w:tabs>
        <w:ind w:left="5040" w:hanging="360"/>
      </w:pPr>
      <w:rPr>
        <w:rFonts w:ascii="Arial" w:hAnsi="Arial" w:hint="default"/>
      </w:rPr>
    </w:lvl>
    <w:lvl w:ilvl="7" w:tplc="A6C42D98" w:tentative="1">
      <w:start w:val="1"/>
      <w:numFmt w:val="bullet"/>
      <w:lvlText w:val="•"/>
      <w:lvlJc w:val="left"/>
      <w:pPr>
        <w:tabs>
          <w:tab w:val="num" w:pos="5760"/>
        </w:tabs>
        <w:ind w:left="5760" w:hanging="360"/>
      </w:pPr>
      <w:rPr>
        <w:rFonts w:ascii="Arial" w:hAnsi="Arial" w:hint="default"/>
      </w:rPr>
    </w:lvl>
    <w:lvl w:ilvl="8" w:tplc="64EE8E4A" w:tentative="1">
      <w:start w:val="1"/>
      <w:numFmt w:val="bullet"/>
      <w:lvlText w:val="•"/>
      <w:lvlJc w:val="left"/>
      <w:pPr>
        <w:tabs>
          <w:tab w:val="num" w:pos="6480"/>
        </w:tabs>
        <w:ind w:left="6480" w:hanging="360"/>
      </w:pPr>
      <w:rPr>
        <w:rFonts w:ascii="Arial" w:hAnsi="Arial" w:hint="default"/>
      </w:rPr>
    </w:lvl>
  </w:abstractNum>
  <w:num w:numId="1" w16cid:durableId="149643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10045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De Pauw (Instituut voor de gelijkheid - Institut pour l'égalité)">
    <w15:presenceInfo w15:providerId="AD" w15:userId="S::ellen.depauw_igvm.be#ext#@federaljusticebelgium.onmicrosoft.com::caf1b241-8e4d-4c3d-ac25-c1c2276400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C9"/>
    <w:rsid w:val="00065DF3"/>
    <w:rsid w:val="002A59A5"/>
    <w:rsid w:val="002E204B"/>
    <w:rsid w:val="003A0CC1"/>
    <w:rsid w:val="00487562"/>
    <w:rsid w:val="004D61C5"/>
    <w:rsid w:val="00604148"/>
    <w:rsid w:val="00677055"/>
    <w:rsid w:val="007876C9"/>
    <w:rsid w:val="008623F2"/>
    <w:rsid w:val="008B429A"/>
    <w:rsid w:val="00BA04EC"/>
    <w:rsid w:val="00CE5753"/>
    <w:rsid w:val="00D31B59"/>
    <w:rsid w:val="00DE0910"/>
    <w:rsid w:val="00F0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788E"/>
  <w15:chartTrackingRefBased/>
  <w15:docId w15:val="{5677AE71-1A96-4CC5-8AA2-83AFA070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7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7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76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76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876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876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76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76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76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6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76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76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76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76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76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6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6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6C9"/>
    <w:rPr>
      <w:rFonts w:eastAsiaTheme="majorEastAsia" w:cstheme="majorBidi"/>
      <w:color w:val="272727" w:themeColor="text1" w:themeTint="D8"/>
    </w:rPr>
  </w:style>
  <w:style w:type="paragraph" w:styleId="Titre">
    <w:name w:val="Title"/>
    <w:basedOn w:val="Normal"/>
    <w:next w:val="Normal"/>
    <w:link w:val="TitreCar"/>
    <w:uiPriority w:val="10"/>
    <w:qFormat/>
    <w:rsid w:val="0078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76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6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76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6C9"/>
    <w:pPr>
      <w:spacing w:before="160"/>
      <w:jc w:val="center"/>
    </w:pPr>
    <w:rPr>
      <w:i/>
      <w:iCs/>
      <w:color w:val="404040" w:themeColor="text1" w:themeTint="BF"/>
    </w:rPr>
  </w:style>
  <w:style w:type="character" w:customStyle="1" w:styleId="CitationCar">
    <w:name w:val="Citation Car"/>
    <w:basedOn w:val="Policepardfaut"/>
    <w:link w:val="Citation"/>
    <w:uiPriority w:val="29"/>
    <w:rsid w:val="007876C9"/>
    <w:rPr>
      <w:i/>
      <w:iCs/>
      <w:color w:val="404040" w:themeColor="text1" w:themeTint="BF"/>
    </w:rPr>
  </w:style>
  <w:style w:type="paragraph" w:styleId="Paragraphedeliste">
    <w:name w:val="List Paragraph"/>
    <w:basedOn w:val="Normal"/>
    <w:uiPriority w:val="34"/>
    <w:qFormat/>
    <w:rsid w:val="007876C9"/>
    <w:pPr>
      <w:ind w:left="720"/>
      <w:contextualSpacing/>
    </w:pPr>
  </w:style>
  <w:style w:type="character" w:styleId="Accentuationintense">
    <w:name w:val="Intense Emphasis"/>
    <w:basedOn w:val="Policepardfaut"/>
    <w:uiPriority w:val="21"/>
    <w:qFormat/>
    <w:rsid w:val="007876C9"/>
    <w:rPr>
      <w:i/>
      <w:iCs/>
      <w:color w:val="0F4761" w:themeColor="accent1" w:themeShade="BF"/>
    </w:rPr>
  </w:style>
  <w:style w:type="paragraph" w:styleId="Citationintense">
    <w:name w:val="Intense Quote"/>
    <w:basedOn w:val="Normal"/>
    <w:next w:val="Normal"/>
    <w:link w:val="CitationintenseCar"/>
    <w:uiPriority w:val="30"/>
    <w:qFormat/>
    <w:rsid w:val="0078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76C9"/>
    <w:rPr>
      <w:i/>
      <w:iCs/>
      <w:color w:val="0F4761" w:themeColor="accent1" w:themeShade="BF"/>
    </w:rPr>
  </w:style>
  <w:style w:type="character" w:styleId="Rfrenceintense">
    <w:name w:val="Intense Reference"/>
    <w:basedOn w:val="Policepardfaut"/>
    <w:uiPriority w:val="32"/>
    <w:qFormat/>
    <w:rsid w:val="007876C9"/>
    <w:rPr>
      <w:b/>
      <w:bCs/>
      <w:smallCaps/>
      <w:color w:val="0F4761" w:themeColor="accent1" w:themeShade="BF"/>
      <w:spacing w:val="5"/>
    </w:rPr>
  </w:style>
  <w:style w:type="table" w:styleId="Grilledutableau">
    <w:name w:val="Table Grid"/>
    <w:basedOn w:val="TableauNormal"/>
    <w:uiPriority w:val="39"/>
    <w:rsid w:val="008623F2"/>
    <w:pPr>
      <w:spacing w:after="0" w:line="36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623F2"/>
    <w:rPr>
      <w:sz w:val="16"/>
      <w:szCs w:val="16"/>
    </w:rPr>
  </w:style>
  <w:style w:type="paragraph" w:styleId="Commentaire">
    <w:name w:val="annotation text"/>
    <w:basedOn w:val="Normal"/>
    <w:link w:val="CommentaireCar"/>
    <w:uiPriority w:val="99"/>
    <w:unhideWhenUsed/>
    <w:rsid w:val="008623F2"/>
    <w:pPr>
      <w:spacing w:after="0" w:line="240" w:lineRule="auto"/>
    </w:pPr>
    <w:rPr>
      <w:rFonts w:ascii="Arial" w:eastAsia="Times New Roman" w:hAnsi="Arial" w:cs="Times New Roman"/>
      <w:kern w:val="0"/>
      <w:sz w:val="20"/>
      <w:szCs w:val="20"/>
      <w:lang w:val="nl-NL"/>
      <w14:ligatures w14:val="none"/>
    </w:rPr>
  </w:style>
  <w:style w:type="character" w:customStyle="1" w:styleId="CommentaireCar">
    <w:name w:val="Commentaire Car"/>
    <w:basedOn w:val="Policepardfaut"/>
    <w:link w:val="Commentaire"/>
    <w:uiPriority w:val="99"/>
    <w:rsid w:val="008623F2"/>
    <w:rPr>
      <w:rFonts w:ascii="Arial" w:eastAsia="Times New Roman" w:hAnsi="Arial" w:cs="Times New Roman"/>
      <w:kern w:val="0"/>
      <w:sz w:val="20"/>
      <w:szCs w:val="20"/>
      <w:lang w:val="nl-NL"/>
      <w14:ligatures w14:val="none"/>
    </w:rPr>
  </w:style>
  <w:style w:type="paragraph" w:styleId="En-tte">
    <w:name w:val="header"/>
    <w:basedOn w:val="Normal"/>
    <w:link w:val="En-tteCar"/>
    <w:uiPriority w:val="99"/>
    <w:unhideWhenUsed/>
    <w:rsid w:val="002A59A5"/>
    <w:pPr>
      <w:tabs>
        <w:tab w:val="center" w:pos="4680"/>
        <w:tab w:val="right" w:pos="9360"/>
      </w:tabs>
      <w:spacing w:after="0" w:line="240" w:lineRule="auto"/>
    </w:pPr>
  </w:style>
  <w:style w:type="character" w:customStyle="1" w:styleId="En-tteCar">
    <w:name w:val="En-tête Car"/>
    <w:basedOn w:val="Policepardfaut"/>
    <w:link w:val="En-tte"/>
    <w:uiPriority w:val="99"/>
    <w:rsid w:val="002A59A5"/>
  </w:style>
  <w:style w:type="paragraph" w:styleId="Pieddepage">
    <w:name w:val="footer"/>
    <w:basedOn w:val="Normal"/>
    <w:link w:val="PieddepageCar"/>
    <w:uiPriority w:val="99"/>
    <w:unhideWhenUsed/>
    <w:rsid w:val="002A59A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A5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10825</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docId:65019CB235853A5E00303630E0545F79</cp:keywords>
  <dc:description/>
  <cp:lastModifiedBy>Dossin Muriel</cp:lastModifiedBy>
  <cp:revision>2</cp:revision>
  <dcterms:created xsi:type="dcterms:W3CDTF">2025-10-29T11:49:00Z</dcterms:created>
  <dcterms:modified xsi:type="dcterms:W3CDTF">2025-10-29T11:49:00Z</dcterms:modified>
</cp:coreProperties>
</file>