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6C0F" w14:textId="5E738BF1" w:rsidR="004D61C5" w:rsidRPr="00D31B59" w:rsidRDefault="007876C9">
      <w:pPr>
        <w:rPr>
          <w:b/>
          <w:bCs/>
          <w:sz w:val="28"/>
          <w:szCs w:val="28"/>
          <w:lang w:val="fr-BE"/>
        </w:rPr>
      </w:pPr>
      <w:r w:rsidRPr="00D31B59">
        <w:rPr>
          <w:b/>
          <w:bCs/>
          <w:sz w:val="28"/>
          <w:szCs w:val="28"/>
          <w:lang w:val="fr-BE"/>
        </w:rPr>
        <w:t>Travail de transposition</w:t>
      </w:r>
    </w:p>
    <w:p w14:paraId="6FEBBDB3" w14:textId="77777777" w:rsidR="007876C9" w:rsidRPr="00D31B59" w:rsidRDefault="007876C9">
      <w:pPr>
        <w:rPr>
          <w:b/>
          <w:bCs/>
          <w:lang w:val="fr-BE"/>
        </w:rPr>
      </w:pPr>
    </w:p>
    <w:p w14:paraId="055D0C18" w14:textId="77777777" w:rsidR="007876C9" w:rsidRPr="007876C9" w:rsidRDefault="007876C9">
      <w:pPr>
        <w:rPr>
          <w:b/>
          <w:bCs/>
          <w:lang w:val="fr-BE"/>
        </w:rPr>
      </w:pPr>
      <w:r w:rsidRPr="007876C9">
        <w:rPr>
          <w:b/>
          <w:bCs/>
          <w:lang w:val="fr-BE"/>
        </w:rPr>
        <w:t>Pilote</w:t>
      </w:r>
    </w:p>
    <w:p w14:paraId="4CCDD438" w14:textId="10220D18" w:rsidR="007876C9" w:rsidRPr="007876C9" w:rsidRDefault="007876C9">
      <w:pPr>
        <w:rPr>
          <w:lang w:val="fr-BE"/>
        </w:rPr>
      </w:pPr>
      <w:r w:rsidRPr="007876C9">
        <w:rPr>
          <w:lang w:val="fr-BE"/>
        </w:rPr>
        <w:t>SPF Justice</w:t>
      </w:r>
    </w:p>
    <w:p w14:paraId="1E68F0C8" w14:textId="77777777" w:rsidR="007876C9" w:rsidRPr="009410C7" w:rsidRDefault="007876C9" w:rsidP="007876C9">
      <w:pPr>
        <w:rPr>
          <w:lang w:val="fr-BE"/>
        </w:rPr>
      </w:pPr>
      <w:r>
        <w:rPr>
          <w:lang w:val="fr-BE"/>
        </w:rPr>
        <w:t>Personne de contact :  Lorena Weyckmans (lorena.weyckmans@just.fgov.be)</w:t>
      </w:r>
    </w:p>
    <w:p w14:paraId="344F9913" w14:textId="77777777" w:rsidR="007876C9" w:rsidRPr="007876C9" w:rsidRDefault="007876C9">
      <w:pPr>
        <w:rPr>
          <w:lang w:val="fr-BE"/>
        </w:rPr>
      </w:pPr>
    </w:p>
    <w:p w14:paraId="5A89AE85" w14:textId="24DE572E" w:rsidR="007876C9" w:rsidRPr="007876C9" w:rsidRDefault="007876C9">
      <w:pPr>
        <w:rPr>
          <w:b/>
          <w:bCs/>
          <w:lang w:val="fr-BE"/>
        </w:rPr>
      </w:pPr>
      <w:r w:rsidRPr="007876C9">
        <w:rPr>
          <w:b/>
          <w:bCs/>
          <w:lang w:val="fr-BE"/>
        </w:rPr>
        <w:t>Méthode de travail (communiquée par SPF Justice)</w:t>
      </w:r>
    </w:p>
    <w:p w14:paraId="59F23701" w14:textId="77777777" w:rsidR="007876C9" w:rsidRPr="009410C7" w:rsidRDefault="007876C9" w:rsidP="007876C9">
      <w:pPr>
        <w:rPr>
          <w:lang w:val="fr-BE"/>
        </w:rPr>
      </w:pPr>
      <w:r>
        <w:rPr>
          <w:rFonts w:ascii="Times New Roman" w:hAnsi="Times New Roman" w:cs="Times New Roman"/>
          <w:color w:val="1F4E79"/>
          <w:lang w:val="fr-FR"/>
        </w:rPr>
        <w:t>Concernant le calendrier belge, il n'existe pas de calendrier formel avec des dates d'étapes fixes, mais voici les éléments clés de notre approche actuelle :</w:t>
      </w:r>
    </w:p>
    <w:p w14:paraId="3C3512F5" w14:textId="77777777" w:rsidR="007876C9" w:rsidRPr="009410C7" w:rsidRDefault="007876C9" w:rsidP="007876C9">
      <w:pPr>
        <w:numPr>
          <w:ilvl w:val="0"/>
          <w:numId w:val="1"/>
        </w:numPr>
        <w:spacing w:after="0" w:line="240" w:lineRule="auto"/>
        <w:rPr>
          <w:rFonts w:eastAsia="Times New Roman"/>
          <w:color w:val="1F4E79"/>
          <w:lang w:val="fr-BE"/>
        </w:rPr>
      </w:pPr>
      <w:r>
        <w:rPr>
          <w:rFonts w:ascii="Times New Roman" w:eastAsia="Times New Roman" w:hAnsi="Times New Roman" w:cs="Times New Roman"/>
          <w:b/>
          <w:bCs/>
          <w:color w:val="1F4E79"/>
          <w:lang w:val="fr-FR"/>
        </w:rPr>
        <w:t>Méthode de travail :</w:t>
      </w:r>
      <w:r>
        <w:rPr>
          <w:rFonts w:ascii="Times New Roman" w:eastAsia="Times New Roman" w:hAnsi="Times New Roman" w:cs="Times New Roman"/>
          <w:color w:val="1F4E79"/>
          <w:lang w:val="fr-FR"/>
        </w:rPr>
        <w:t xml:space="preserve"> Nous travaillons actuellement à travers un processus de </w:t>
      </w:r>
      <w:r>
        <w:rPr>
          <w:rFonts w:ascii="Times New Roman" w:eastAsia="Times New Roman" w:hAnsi="Times New Roman" w:cs="Times New Roman"/>
          <w:b/>
          <w:bCs/>
          <w:color w:val="1F4E79"/>
          <w:lang w:val="fr-FR"/>
        </w:rPr>
        <w:t>concertation interinstitutionnelle et inter-niveaux de pouvoir</w:t>
      </w:r>
      <w:r>
        <w:rPr>
          <w:rFonts w:ascii="Times New Roman" w:eastAsia="Times New Roman" w:hAnsi="Times New Roman" w:cs="Times New Roman"/>
          <w:color w:val="1F4E79"/>
          <w:lang w:val="fr-FR"/>
        </w:rPr>
        <w:t xml:space="preserve"> (Fédéral, Régions et Communautés). Les différents niveaux de pouvoir et domaines politiques procèdent à leurs analyses internes. Nous avons un </w:t>
      </w:r>
      <w:r>
        <w:rPr>
          <w:rFonts w:ascii="Times New Roman" w:eastAsia="Times New Roman" w:hAnsi="Times New Roman" w:cs="Times New Roman"/>
          <w:b/>
          <w:bCs/>
          <w:color w:val="1F4E79"/>
          <w:lang w:val="fr-FR"/>
        </w:rPr>
        <w:t>canal Teams</w:t>
      </w:r>
      <w:r>
        <w:rPr>
          <w:rFonts w:ascii="Times New Roman" w:eastAsia="Times New Roman" w:hAnsi="Times New Roman" w:cs="Times New Roman"/>
          <w:color w:val="1F4E79"/>
          <w:lang w:val="fr-FR"/>
        </w:rPr>
        <w:t xml:space="preserve"> sur lequel j’ai mis à disposition tous les documents pertinents ainsi qu’un tableau des compétences qui est interactif : chaque acteur doit indiquer sa compétence dans le tableau car je n’ai ni la chance ni la prétention de tout connaître. </w:t>
      </w:r>
    </w:p>
    <w:p w14:paraId="5B250291" w14:textId="77777777" w:rsidR="007876C9" w:rsidRPr="009410C7" w:rsidRDefault="007876C9" w:rsidP="007876C9">
      <w:pPr>
        <w:numPr>
          <w:ilvl w:val="0"/>
          <w:numId w:val="1"/>
        </w:numPr>
        <w:spacing w:after="0" w:line="240" w:lineRule="auto"/>
        <w:rPr>
          <w:rFonts w:eastAsia="Times New Roman"/>
          <w:color w:val="1F4E79"/>
          <w:lang w:val="fr-BE"/>
        </w:rPr>
      </w:pPr>
      <w:r>
        <w:rPr>
          <w:rFonts w:ascii="Times New Roman" w:eastAsia="Times New Roman" w:hAnsi="Times New Roman" w:cs="Times New Roman"/>
          <w:b/>
          <w:bCs/>
          <w:color w:val="1F4E79"/>
          <w:lang w:val="fr-FR"/>
        </w:rPr>
        <w:t>Coordination et validation :</w:t>
      </w:r>
      <w:r>
        <w:rPr>
          <w:rFonts w:ascii="Times New Roman" w:eastAsia="Times New Roman" w:hAnsi="Times New Roman" w:cs="Times New Roman"/>
          <w:color w:val="1F4E79"/>
          <w:lang w:val="fr-FR"/>
        </w:rPr>
        <w:t xml:space="preserve"> L'objectif est de consolider les analyses des différents niveaux de pouvoir et de lister les lacunes potentielles dans le droit belge. Cette phase est en cours et se fait via une </w:t>
      </w:r>
      <w:r>
        <w:rPr>
          <w:rFonts w:ascii="Times New Roman" w:eastAsia="Times New Roman" w:hAnsi="Times New Roman" w:cs="Times New Roman"/>
          <w:b/>
          <w:bCs/>
          <w:color w:val="1F4E79"/>
          <w:lang w:val="fr-FR"/>
        </w:rPr>
        <w:t xml:space="preserve">coordination </w:t>
      </w:r>
      <w:r>
        <w:rPr>
          <w:rFonts w:ascii="Times New Roman" w:eastAsia="Times New Roman" w:hAnsi="Times New Roman" w:cs="Times New Roman"/>
          <w:color w:val="1F4E79"/>
          <w:lang w:val="fr-FR"/>
        </w:rPr>
        <w:t xml:space="preserve">par courriers et des </w:t>
      </w:r>
      <w:r>
        <w:rPr>
          <w:rFonts w:ascii="Times New Roman" w:eastAsia="Times New Roman" w:hAnsi="Times New Roman" w:cs="Times New Roman"/>
          <w:b/>
          <w:bCs/>
          <w:color w:val="1F4E79"/>
          <w:lang w:val="fr-FR"/>
        </w:rPr>
        <w:t>réunions de travail uniquement sur demande</w:t>
      </w:r>
      <w:r>
        <w:rPr>
          <w:rFonts w:ascii="Times New Roman" w:eastAsia="Times New Roman" w:hAnsi="Times New Roman" w:cs="Times New Roman"/>
          <w:color w:val="1F4E79"/>
          <w:lang w:val="fr-FR"/>
        </w:rPr>
        <w:t>. En effet, je suis le point de contact de la transposition mais je ne la supervise pas : je n’ai pas d’autorité ni de calendrier à imposer à mes collègues d’autres institutions du public. C’est à eux de travailler à la transposition de leur côté et à me contacter en cas de questions.</w:t>
      </w:r>
    </w:p>
    <w:p w14:paraId="35E04C0B" w14:textId="77777777" w:rsidR="007876C9" w:rsidRPr="009410C7" w:rsidRDefault="007876C9" w:rsidP="007876C9">
      <w:pPr>
        <w:numPr>
          <w:ilvl w:val="0"/>
          <w:numId w:val="1"/>
        </w:numPr>
        <w:spacing w:after="0" w:line="240" w:lineRule="auto"/>
        <w:rPr>
          <w:rFonts w:eastAsia="Times New Roman"/>
          <w:color w:val="1F4E79"/>
          <w:lang w:val="fr-BE"/>
        </w:rPr>
      </w:pPr>
      <w:r>
        <w:rPr>
          <w:rFonts w:ascii="Times New Roman" w:eastAsia="Times New Roman" w:hAnsi="Times New Roman" w:cs="Times New Roman"/>
          <w:b/>
          <w:bCs/>
          <w:color w:val="1F4E79"/>
          <w:lang w:val="fr-FR"/>
        </w:rPr>
        <w:t>Date limite de transposition européenne :</w:t>
      </w:r>
      <w:r>
        <w:rPr>
          <w:rFonts w:ascii="Times New Roman" w:eastAsia="Times New Roman" w:hAnsi="Times New Roman" w:cs="Times New Roman"/>
          <w:color w:val="1F4E79"/>
          <w:lang w:val="fr-FR"/>
        </w:rPr>
        <w:t xml:space="preserve"> La date finale pour être en ordre de transposition est fixée à </w:t>
      </w:r>
      <w:r>
        <w:rPr>
          <w:rFonts w:ascii="Times New Roman" w:eastAsia="Times New Roman" w:hAnsi="Times New Roman" w:cs="Times New Roman"/>
          <w:b/>
          <w:bCs/>
          <w:color w:val="1F4E79"/>
          <w:lang w:val="fr-FR"/>
        </w:rPr>
        <w:t>2027</w:t>
      </w:r>
      <w:r>
        <w:rPr>
          <w:rFonts w:ascii="Times New Roman" w:eastAsia="Times New Roman" w:hAnsi="Times New Roman" w:cs="Times New Roman"/>
          <w:color w:val="1F4E79"/>
          <w:lang w:val="fr-FR"/>
        </w:rPr>
        <w:t>. Habituellement, la Commission demande de soumettre un tableau de transposition (très similaire au tableau utilisé sur le Canal Teams) afin de démontrer le travail accompli. Vous avez donc le lead sur la transposition et votre seule obligation est de me transmettre vos progrès via le tableau ou courrier.</w:t>
      </w:r>
    </w:p>
    <w:p w14:paraId="78D213E4" w14:textId="77777777" w:rsidR="007876C9" w:rsidRPr="009410C7" w:rsidRDefault="007876C9" w:rsidP="007876C9">
      <w:pPr>
        <w:numPr>
          <w:ilvl w:val="0"/>
          <w:numId w:val="1"/>
        </w:numPr>
        <w:spacing w:after="0" w:line="240" w:lineRule="auto"/>
        <w:rPr>
          <w:rFonts w:eastAsia="Times New Roman"/>
          <w:color w:val="1F4E79"/>
          <w:lang w:val="fr-BE"/>
        </w:rPr>
      </w:pPr>
      <w:r>
        <w:rPr>
          <w:rFonts w:ascii="Times New Roman" w:eastAsia="Times New Roman" w:hAnsi="Times New Roman" w:cs="Times New Roman"/>
          <w:b/>
          <w:bCs/>
          <w:color w:val="1F4E79"/>
          <w:lang w:val="fr-FR"/>
        </w:rPr>
        <w:t>Ateliers de la Commission Européenne :</w:t>
      </w:r>
      <w:r>
        <w:rPr>
          <w:rFonts w:ascii="Times New Roman" w:eastAsia="Times New Roman" w:hAnsi="Times New Roman" w:cs="Times New Roman"/>
          <w:color w:val="1F4E79"/>
          <w:lang w:val="fr-FR"/>
        </w:rPr>
        <w:t xml:space="preserve"> Nous participons également aux ateliers de la Commission. Le </w:t>
      </w:r>
      <w:r>
        <w:rPr>
          <w:rFonts w:ascii="Times New Roman" w:eastAsia="Times New Roman" w:hAnsi="Times New Roman" w:cs="Times New Roman"/>
          <w:b/>
          <w:bCs/>
          <w:color w:val="1F4E79"/>
          <w:lang w:val="fr-FR"/>
        </w:rPr>
        <w:t>deuxième atelier</w:t>
      </w:r>
      <w:r>
        <w:rPr>
          <w:rFonts w:ascii="Times New Roman" w:eastAsia="Times New Roman" w:hAnsi="Times New Roman" w:cs="Times New Roman"/>
          <w:color w:val="1F4E79"/>
          <w:lang w:val="fr-FR"/>
        </w:rPr>
        <w:t xml:space="preserve"> est prévu le </w:t>
      </w:r>
      <w:r>
        <w:rPr>
          <w:rFonts w:ascii="Times New Roman" w:eastAsia="Times New Roman" w:hAnsi="Times New Roman" w:cs="Times New Roman"/>
          <w:b/>
          <w:bCs/>
          <w:color w:val="1F4E79"/>
          <w:lang w:val="fr-FR"/>
        </w:rPr>
        <w:t>29 octobre 2025</w:t>
      </w:r>
      <w:r>
        <w:rPr>
          <w:rFonts w:ascii="Times New Roman" w:eastAsia="Times New Roman" w:hAnsi="Times New Roman" w:cs="Times New Roman"/>
          <w:color w:val="1F4E79"/>
          <w:lang w:val="fr-FR"/>
        </w:rPr>
        <w:t xml:space="preserve"> et portera sur les cybercrimes et l'exploitation sexuelle (Chapitre 2).</w:t>
      </w:r>
    </w:p>
    <w:p w14:paraId="2E520020" w14:textId="77777777" w:rsidR="007876C9" w:rsidRDefault="007876C9" w:rsidP="007876C9">
      <w:pPr>
        <w:rPr>
          <w:lang w:val="fr-BE"/>
        </w:rPr>
      </w:pPr>
    </w:p>
    <w:p w14:paraId="64AAAEA1" w14:textId="42C28FDE" w:rsidR="007876C9" w:rsidRDefault="008623F2" w:rsidP="002A59A5">
      <w:pPr>
        <w:spacing w:after="0"/>
        <w:rPr>
          <w:b/>
          <w:bCs/>
          <w:lang w:val="fr-BE"/>
        </w:rPr>
      </w:pPr>
      <w:r>
        <w:rPr>
          <w:b/>
          <w:bCs/>
          <w:lang w:val="fr-BE"/>
        </w:rPr>
        <w:br w:type="page"/>
      </w:r>
      <w:r w:rsidR="007876C9" w:rsidRPr="007876C9">
        <w:rPr>
          <w:b/>
          <w:bCs/>
          <w:lang w:val="fr-BE"/>
        </w:rPr>
        <w:lastRenderedPageBreak/>
        <w:t>Articles concernant les personnes en situation de handicap</w:t>
      </w:r>
    </w:p>
    <w:p w14:paraId="6D56D664" w14:textId="77777777" w:rsidR="002A59A5" w:rsidRPr="007876C9" w:rsidRDefault="002A59A5" w:rsidP="002A59A5">
      <w:pPr>
        <w:spacing w:after="0"/>
        <w:rPr>
          <w:b/>
          <w:bCs/>
          <w:lang w:val="fr-BE"/>
        </w:rPr>
      </w:pPr>
    </w:p>
    <w:p w14:paraId="049739FD" w14:textId="14F0923B" w:rsidR="007876C9" w:rsidRDefault="007876C9" w:rsidP="002A59A5">
      <w:pPr>
        <w:spacing w:after="0" w:line="240" w:lineRule="auto"/>
        <w:jc w:val="both"/>
        <w:rPr>
          <w:lang w:val="fr-BE"/>
        </w:rPr>
      </w:pPr>
      <w:r>
        <w:rPr>
          <w:lang w:val="fr-BE"/>
        </w:rPr>
        <w:t xml:space="preserve">ARTICLE 11 : </w:t>
      </w:r>
      <w:r w:rsidRPr="007876C9">
        <w:rPr>
          <w:lang w:val="fr-BE"/>
        </w:rPr>
        <w:t xml:space="preserve">circonstance </w:t>
      </w:r>
      <w:r w:rsidR="00065DF3" w:rsidRPr="007876C9">
        <w:rPr>
          <w:lang w:val="fr-BE"/>
        </w:rPr>
        <w:t>aggravante</w:t>
      </w:r>
      <w:r>
        <w:rPr>
          <w:lang w:val="fr-BE"/>
        </w:rPr>
        <w:t xml:space="preserve"> </w:t>
      </w:r>
      <w:r w:rsidRPr="007876C9">
        <w:rPr>
          <w:lang w:val="fr-BE"/>
        </w:rPr>
        <w:t>pour les infractions commises à l'encontre d'une personne en situation de handicap</w:t>
      </w:r>
    </w:p>
    <w:p w14:paraId="787ABFEA" w14:textId="45DD4425" w:rsidR="002A59A5" w:rsidRPr="002A59A5" w:rsidRDefault="002A59A5" w:rsidP="002A59A5">
      <w:pPr>
        <w:spacing w:after="0" w:line="240" w:lineRule="auto"/>
        <w:jc w:val="both"/>
        <w:rPr>
          <w:i/>
          <w:iCs/>
          <w:color w:val="0F9ED5" w:themeColor="accent4"/>
          <w:lang w:val="nl-BE"/>
        </w:rPr>
      </w:pPr>
      <w:r w:rsidRPr="002A59A5">
        <w:rPr>
          <w:i/>
          <w:iCs/>
          <w:color w:val="0F9ED5" w:themeColor="accent4"/>
          <w:lang w:val="nl-BE"/>
        </w:rPr>
        <w:t>ARTIKEL 11: verzwarende omstandigheden voor misdrijven gepleegd tegen personen met een handicap</w:t>
      </w:r>
    </w:p>
    <w:p w14:paraId="6F8A108B" w14:textId="77777777" w:rsidR="002A59A5" w:rsidRPr="002A59A5" w:rsidRDefault="002A59A5" w:rsidP="002A59A5">
      <w:pPr>
        <w:spacing w:after="0" w:line="240" w:lineRule="auto"/>
        <w:jc w:val="both"/>
        <w:rPr>
          <w:i/>
          <w:iCs/>
          <w:lang w:val="nl-BE"/>
        </w:rPr>
      </w:pPr>
    </w:p>
    <w:p w14:paraId="36E912E1" w14:textId="77777777" w:rsidR="002A59A5" w:rsidRDefault="007876C9" w:rsidP="002A59A5">
      <w:pPr>
        <w:spacing w:after="0" w:line="240" w:lineRule="auto"/>
        <w:jc w:val="both"/>
        <w:rPr>
          <w:lang w:val="fr-BE"/>
        </w:rPr>
      </w:pPr>
      <w:r>
        <w:rPr>
          <w:lang w:val="fr-BE"/>
        </w:rPr>
        <w:t xml:space="preserve">ARTICLE 21 e) : </w:t>
      </w:r>
      <w:r w:rsidRPr="00B27C44">
        <w:rPr>
          <w:lang w:val="fr-BE"/>
        </w:rPr>
        <w:t xml:space="preserve">lignes directrices à l'intention des services répressifs et des autorités judiciaires sur </w:t>
      </w:r>
      <w:r w:rsidRPr="007876C9">
        <w:rPr>
          <w:lang w:val="fr-BE"/>
        </w:rPr>
        <w:t>la manière de traiter les victimes, notamment en tenant compte du handicap</w:t>
      </w:r>
    </w:p>
    <w:p w14:paraId="3898487F" w14:textId="685A9343" w:rsidR="007876C9" w:rsidRPr="002A59A5" w:rsidRDefault="002A59A5" w:rsidP="002A59A5">
      <w:pPr>
        <w:spacing w:after="0" w:line="240" w:lineRule="auto"/>
        <w:jc w:val="both"/>
        <w:rPr>
          <w:i/>
          <w:iCs/>
          <w:color w:val="0F9ED5" w:themeColor="accent4"/>
          <w:lang w:val="nl-BE"/>
        </w:rPr>
      </w:pPr>
      <w:r w:rsidRPr="002A59A5">
        <w:rPr>
          <w:i/>
          <w:iCs/>
          <w:color w:val="0F9ED5" w:themeColor="accent4"/>
          <w:lang w:val="nl-BE"/>
        </w:rPr>
        <w:t>ARTIKEL 21, onder e): richtsnoeren voor wetshandhavingsinstanties en gerechtelijke autoriteiten over de behandeling van slachtoffers, met name rekening houdend met handicaps</w:t>
      </w:r>
      <w:r w:rsidR="007876C9" w:rsidRPr="002A59A5">
        <w:rPr>
          <w:i/>
          <w:iCs/>
          <w:color w:val="0F9ED5" w:themeColor="accent4"/>
          <w:lang w:val="nl-BE"/>
        </w:rPr>
        <w:t xml:space="preserve"> </w:t>
      </w:r>
    </w:p>
    <w:p w14:paraId="773E3ABF" w14:textId="77777777" w:rsidR="002A59A5" w:rsidRPr="002A59A5" w:rsidRDefault="002A59A5" w:rsidP="002A59A5">
      <w:pPr>
        <w:spacing w:after="0" w:line="240" w:lineRule="auto"/>
        <w:jc w:val="both"/>
        <w:rPr>
          <w:lang w:val="nl-BE"/>
        </w:rPr>
      </w:pPr>
    </w:p>
    <w:p w14:paraId="452202B5" w14:textId="3E7270E0" w:rsidR="007876C9" w:rsidRDefault="007876C9" w:rsidP="002A59A5">
      <w:pPr>
        <w:spacing w:after="0" w:line="240" w:lineRule="auto"/>
        <w:jc w:val="both"/>
        <w:rPr>
          <w:lang w:val="fr-BE"/>
        </w:rPr>
      </w:pPr>
      <w:r>
        <w:rPr>
          <w:lang w:val="fr-BE"/>
        </w:rPr>
        <w:t xml:space="preserve">ARTICLE 29, alinéa 2 : </w:t>
      </w:r>
      <w:r w:rsidRPr="00B27C44">
        <w:rPr>
          <w:lang w:val="fr-BE"/>
        </w:rPr>
        <w:t>accessibilité des lignes d'assistance téléphonique pour les victimes</w:t>
      </w:r>
      <w:r>
        <w:rPr>
          <w:lang w:val="fr-BE"/>
        </w:rPr>
        <w:t xml:space="preserve"> en situation de handicap</w:t>
      </w:r>
    </w:p>
    <w:p w14:paraId="6A3691C7" w14:textId="476F4A98" w:rsidR="002A59A5" w:rsidRDefault="002A59A5" w:rsidP="002A59A5">
      <w:pPr>
        <w:spacing w:after="0" w:line="240" w:lineRule="auto"/>
        <w:jc w:val="both"/>
        <w:rPr>
          <w:i/>
          <w:iCs/>
          <w:color w:val="0F9ED5" w:themeColor="accent4"/>
          <w:lang w:val="nl-BE"/>
        </w:rPr>
      </w:pPr>
      <w:r w:rsidRPr="002A59A5">
        <w:rPr>
          <w:i/>
          <w:iCs/>
          <w:color w:val="0F9ED5" w:themeColor="accent4"/>
          <w:lang w:val="nl-BE"/>
        </w:rPr>
        <w:t>ARTIKEL 29, lid 2: toegankelijkheid van hulplijnen voor slachtoffers met een handicap</w:t>
      </w:r>
    </w:p>
    <w:p w14:paraId="18E7813E" w14:textId="77777777" w:rsidR="002A59A5" w:rsidRPr="002A59A5" w:rsidRDefault="002A59A5" w:rsidP="002A59A5">
      <w:pPr>
        <w:spacing w:after="0" w:line="240" w:lineRule="auto"/>
        <w:jc w:val="both"/>
        <w:rPr>
          <w:i/>
          <w:iCs/>
          <w:color w:val="0F9ED5" w:themeColor="accent4"/>
          <w:lang w:val="nl-BE"/>
        </w:rPr>
      </w:pPr>
    </w:p>
    <w:p w14:paraId="44CEBA09" w14:textId="2E1D2526" w:rsidR="007876C9" w:rsidRDefault="007876C9" w:rsidP="002A59A5">
      <w:pPr>
        <w:spacing w:after="0" w:line="240" w:lineRule="auto"/>
        <w:jc w:val="both"/>
        <w:rPr>
          <w:lang w:val="fr-BE"/>
        </w:rPr>
      </w:pPr>
      <w:r>
        <w:rPr>
          <w:lang w:val="fr-BE"/>
        </w:rPr>
        <w:t xml:space="preserve">ARTICLE 33, alinéa 2 : </w:t>
      </w:r>
      <w:r w:rsidR="008623F2">
        <w:rPr>
          <w:lang w:val="fr-BE"/>
        </w:rPr>
        <w:t xml:space="preserve">garantir </w:t>
      </w:r>
      <w:r w:rsidRPr="008623F2">
        <w:rPr>
          <w:lang w:val="fr-BE"/>
        </w:rPr>
        <w:t xml:space="preserve">services d'assistance </w:t>
      </w:r>
      <w:r w:rsidR="008623F2" w:rsidRPr="008623F2">
        <w:rPr>
          <w:lang w:val="fr-BE"/>
        </w:rPr>
        <w:t xml:space="preserve">pour </w:t>
      </w:r>
      <w:r w:rsidRPr="008623F2">
        <w:rPr>
          <w:lang w:val="fr-BE"/>
        </w:rPr>
        <w:t xml:space="preserve">les victimes </w:t>
      </w:r>
      <w:r w:rsidR="008623F2" w:rsidRPr="008623F2">
        <w:rPr>
          <w:lang w:val="fr-BE"/>
        </w:rPr>
        <w:t>avec besoins intersectionnels, dont handicap</w:t>
      </w:r>
    </w:p>
    <w:p w14:paraId="52BA5ADA" w14:textId="6753CE7C" w:rsidR="002A59A5" w:rsidRPr="002A59A5" w:rsidRDefault="002A59A5" w:rsidP="002A59A5">
      <w:pPr>
        <w:spacing w:after="0" w:line="240" w:lineRule="auto"/>
        <w:jc w:val="both"/>
        <w:rPr>
          <w:i/>
          <w:iCs/>
          <w:color w:val="0F9ED5" w:themeColor="accent4"/>
          <w:lang w:val="nl-BE"/>
        </w:rPr>
      </w:pPr>
      <w:r w:rsidRPr="002A59A5">
        <w:rPr>
          <w:i/>
          <w:iCs/>
          <w:color w:val="0F9ED5" w:themeColor="accent4"/>
          <w:lang w:val="nl-BE"/>
        </w:rPr>
        <w:t xml:space="preserve">ARTIKEL 33, lid 2: hulpverlening garanderen voor slachtoffers met </w:t>
      </w:r>
      <w:proofErr w:type="spellStart"/>
      <w:r w:rsidRPr="002A59A5">
        <w:rPr>
          <w:i/>
          <w:iCs/>
          <w:color w:val="0F9ED5" w:themeColor="accent4"/>
          <w:lang w:val="nl-BE"/>
        </w:rPr>
        <w:t>intersectionele</w:t>
      </w:r>
      <w:proofErr w:type="spellEnd"/>
      <w:r w:rsidRPr="002A59A5">
        <w:rPr>
          <w:i/>
          <w:iCs/>
          <w:color w:val="0F9ED5" w:themeColor="accent4"/>
          <w:lang w:val="nl-BE"/>
        </w:rPr>
        <w:t xml:space="preserve"> behoeften, waaronder een handicap</w:t>
      </w:r>
    </w:p>
    <w:p w14:paraId="6BAABF58" w14:textId="77777777" w:rsidR="002A59A5" w:rsidRPr="002A59A5" w:rsidRDefault="002A59A5" w:rsidP="002A59A5">
      <w:pPr>
        <w:spacing w:after="0" w:line="240" w:lineRule="auto"/>
        <w:jc w:val="both"/>
        <w:rPr>
          <w:lang w:val="nl-BE"/>
        </w:rPr>
      </w:pPr>
    </w:p>
    <w:p w14:paraId="06B5B67D" w14:textId="77777777" w:rsidR="008623F2" w:rsidRDefault="008623F2" w:rsidP="002A59A5">
      <w:pPr>
        <w:spacing w:after="0" w:line="240" w:lineRule="auto"/>
        <w:jc w:val="both"/>
        <w:rPr>
          <w:lang w:val="fr-BE"/>
        </w:rPr>
      </w:pPr>
      <w:r>
        <w:rPr>
          <w:lang w:val="fr-BE"/>
        </w:rPr>
        <w:t xml:space="preserve">ARTICLE 34, alinéa 4 : </w:t>
      </w:r>
      <w:r w:rsidR="007876C9" w:rsidRPr="00B27C44">
        <w:rPr>
          <w:lang w:val="fr-BE"/>
        </w:rPr>
        <w:t xml:space="preserve">mesures préventives </w:t>
      </w:r>
      <w:r>
        <w:rPr>
          <w:lang w:val="fr-BE"/>
        </w:rPr>
        <w:t>accessibles</w:t>
      </w:r>
      <w:r w:rsidR="007876C9" w:rsidRPr="00B27C44">
        <w:rPr>
          <w:b/>
          <w:bCs/>
          <w:lang w:val="fr-BE"/>
        </w:rPr>
        <w:t xml:space="preserve"> </w:t>
      </w:r>
      <w:r w:rsidR="007876C9" w:rsidRPr="00B27C44">
        <w:rPr>
          <w:lang w:val="fr-BE"/>
        </w:rPr>
        <w:t xml:space="preserve">aux personnes </w:t>
      </w:r>
      <w:r w:rsidR="007876C9">
        <w:rPr>
          <w:lang w:val="fr-BE"/>
        </w:rPr>
        <w:t>en situation de handicap</w:t>
      </w:r>
    </w:p>
    <w:p w14:paraId="53B0948A" w14:textId="51FD0FDB" w:rsidR="002A59A5" w:rsidRPr="002A59A5" w:rsidRDefault="002A59A5" w:rsidP="002A59A5">
      <w:pPr>
        <w:spacing w:after="0" w:line="240" w:lineRule="auto"/>
        <w:jc w:val="both"/>
        <w:rPr>
          <w:i/>
          <w:iCs/>
          <w:color w:val="0F9ED5" w:themeColor="accent4"/>
          <w:lang w:val="nl-BE"/>
        </w:rPr>
      </w:pPr>
      <w:r w:rsidRPr="002A59A5">
        <w:rPr>
          <w:i/>
          <w:iCs/>
          <w:color w:val="0F9ED5" w:themeColor="accent4"/>
          <w:lang w:val="nl-BE"/>
        </w:rPr>
        <w:t>ARTIKEL 34, lid 4: preventieve maatregelen die toegankelijk zijn voor personen met een handicap</w:t>
      </w:r>
    </w:p>
    <w:p w14:paraId="6F9A3DE5" w14:textId="77777777" w:rsidR="002A59A5" w:rsidRPr="002A59A5" w:rsidRDefault="002A59A5" w:rsidP="002A59A5">
      <w:pPr>
        <w:spacing w:after="0" w:line="240" w:lineRule="auto"/>
        <w:jc w:val="both"/>
        <w:rPr>
          <w:lang w:val="nl-BE"/>
        </w:rPr>
      </w:pPr>
    </w:p>
    <w:p w14:paraId="32A6EF2F" w14:textId="0455E771" w:rsidR="008623F2" w:rsidRDefault="008623F2" w:rsidP="002A59A5">
      <w:pPr>
        <w:spacing w:after="0" w:line="240" w:lineRule="auto"/>
        <w:jc w:val="both"/>
        <w:rPr>
          <w:lang w:val="fr-BE"/>
        </w:rPr>
      </w:pPr>
      <w:r>
        <w:rPr>
          <w:lang w:val="fr-BE"/>
        </w:rPr>
        <w:t xml:space="preserve">ARTICLE 36, alinéa 3 : </w:t>
      </w:r>
      <w:r w:rsidR="007876C9" w:rsidRPr="008623F2">
        <w:rPr>
          <w:lang w:val="fr-BE"/>
        </w:rPr>
        <w:t>formation fondée sur les droits de l'homme tenant compte des questions de genre</w:t>
      </w:r>
      <w:r w:rsidRPr="008623F2">
        <w:rPr>
          <w:lang w:val="fr-BE"/>
        </w:rPr>
        <w:t xml:space="preserve"> et</w:t>
      </w:r>
      <w:r w:rsidR="007876C9" w:rsidRPr="008623F2">
        <w:rPr>
          <w:lang w:val="fr-BE"/>
        </w:rPr>
        <w:t xml:space="preserve"> de handicap </w:t>
      </w:r>
      <w:r w:rsidRPr="008623F2">
        <w:rPr>
          <w:lang w:val="fr-BE"/>
        </w:rPr>
        <w:t>pour services de justice</w:t>
      </w:r>
    </w:p>
    <w:p w14:paraId="29C880F1" w14:textId="45AF58B4" w:rsidR="002A59A5" w:rsidRPr="00677055" w:rsidRDefault="00677055" w:rsidP="002A59A5">
      <w:pPr>
        <w:spacing w:after="0" w:line="240" w:lineRule="auto"/>
        <w:jc w:val="both"/>
        <w:rPr>
          <w:i/>
          <w:iCs/>
          <w:color w:val="0F9ED5" w:themeColor="accent4"/>
          <w:lang w:val="nl-BE"/>
        </w:rPr>
      </w:pPr>
      <w:r w:rsidRPr="00677055">
        <w:rPr>
          <w:i/>
          <w:iCs/>
          <w:color w:val="0F9ED5" w:themeColor="accent4"/>
          <w:lang w:val="nl-BE"/>
        </w:rPr>
        <w:t>ARTIKEL 36, lid 3: op mensenrechten gebaseerde opleiding die rekening houdt met gender- en handicapkwesties voor justitiële diensten</w:t>
      </w:r>
    </w:p>
    <w:p w14:paraId="1262ACB2" w14:textId="77777777" w:rsidR="002A59A5" w:rsidRPr="00677055" w:rsidRDefault="002A59A5" w:rsidP="002A59A5">
      <w:pPr>
        <w:spacing w:after="0" w:line="240" w:lineRule="auto"/>
        <w:jc w:val="both"/>
        <w:rPr>
          <w:lang w:val="nl-BE"/>
        </w:rPr>
      </w:pPr>
    </w:p>
    <w:p w14:paraId="143B78F2" w14:textId="77777777" w:rsidR="008623F2" w:rsidRPr="008623F2" w:rsidRDefault="008623F2" w:rsidP="008623F2">
      <w:pPr>
        <w:spacing w:after="0" w:line="360" w:lineRule="auto"/>
        <w:jc w:val="both"/>
        <w:rPr>
          <w:rFonts w:ascii="Aptos" w:eastAsia="Times New Roman" w:hAnsi="Aptos" w:cs="Times New Roman"/>
          <w:b/>
          <w:bCs/>
          <w:kern w:val="0"/>
          <w:sz w:val="22"/>
          <w:szCs w:val="22"/>
          <w:lang w:val="fr-FR" w:eastAsia="en-GB"/>
          <w14:ligatures w14:val="none"/>
        </w:rPr>
      </w:pPr>
      <w:r w:rsidRPr="008623F2">
        <w:rPr>
          <w:rFonts w:ascii="Aptos" w:eastAsia="Times New Roman" w:hAnsi="Aptos" w:cs="Times New Roman"/>
          <w:b/>
          <w:bCs/>
          <w:kern w:val="0"/>
          <w:sz w:val="22"/>
          <w:szCs w:val="22"/>
          <w:lang w:val="fr-FR" w:eastAsia="en-GB"/>
          <w14:ligatures w14:val="none"/>
        </w:rPr>
        <w:t>Transposition deadline: 14 June 2027</w:t>
      </w:r>
    </w:p>
    <w:tbl>
      <w:tblPr>
        <w:tblStyle w:val="Grilledutableau"/>
        <w:tblW w:w="0" w:type="auto"/>
        <w:tblLook w:val="04A0" w:firstRow="1" w:lastRow="0" w:firstColumn="1" w:lastColumn="0" w:noHBand="0" w:noVBand="1"/>
      </w:tblPr>
      <w:tblGrid>
        <w:gridCol w:w="12950"/>
      </w:tblGrid>
      <w:tr w:rsidR="008623F2" w:rsidRPr="008623F2" w14:paraId="11EFEB7A" w14:textId="77777777" w:rsidTr="008623F2">
        <w:trPr>
          <w:trHeight w:val="300"/>
        </w:trPr>
        <w:tc>
          <w:tcPr>
            <w:tcW w:w="12950" w:type="dxa"/>
            <w:shd w:val="clear" w:color="auto" w:fill="FFF2CC"/>
          </w:tcPr>
          <w:p w14:paraId="489B8952" w14:textId="77777777" w:rsidR="008623F2" w:rsidRPr="008623F2" w:rsidRDefault="008623F2" w:rsidP="008623F2">
            <w:pPr>
              <w:jc w:val="both"/>
              <w:rPr>
                <w:rFonts w:ascii="Aptos" w:hAnsi="Aptos"/>
                <w:sz w:val="22"/>
                <w:szCs w:val="22"/>
                <w:lang w:val="en-IE" w:eastAsia="en-GB"/>
              </w:rPr>
            </w:pPr>
            <w:r w:rsidRPr="008623F2">
              <w:rPr>
                <w:rFonts w:ascii="Aptos" w:hAnsi="Aptos"/>
                <w:sz w:val="22"/>
                <w:szCs w:val="22"/>
                <w:lang w:val="en-IE" w:eastAsia="en-GB"/>
              </w:rPr>
              <w:t>Yellow:  Articles/paragraphs where transposition is required for all MSs</w:t>
            </w:r>
          </w:p>
        </w:tc>
      </w:tr>
      <w:tr w:rsidR="008623F2" w:rsidRPr="008623F2" w14:paraId="1D83C822" w14:textId="77777777" w:rsidTr="008623F2">
        <w:trPr>
          <w:trHeight w:val="300"/>
        </w:trPr>
        <w:tc>
          <w:tcPr>
            <w:tcW w:w="12950" w:type="dxa"/>
            <w:shd w:val="clear" w:color="auto" w:fill="E2EFD9"/>
          </w:tcPr>
          <w:p w14:paraId="3C29753F" w14:textId="77777777" w:rsidR="008623F2" w:rsidRPr="008623F2" w:rsidRDefault="008623F2" w:rsidP="008623F2">
            <w:pPr>
              <w:jc w:val="both"/>
              <w:rPr>
                <w:rFonts w:ascii="Aptos" w:hAnsi="Aptos"/>
                <w:sz w:val="22"/>
                <w:szCs w:val="22"/>
                <w:lang w:val="en-IE" w:eastAsia="en-GB"/>
              </w:rPr>
            </w:pPr>
            <w:r w:rsidRPr="008623F2">
              <w:rPr>
                <w:rFonts w:ascii="Aptos" w:hAnsi="Aptos"/>
                <w:sz w:val="22"/>
                <w:szCs w:val="22"/>
                <w:lang w:val="en-IE" w:eastAsia="en-GB"/>
              </w:rPr>
              <w:t>Green: Articles/paragraphs where transposition is not mandatory (optional)</w:t>
            </w:r>
          </w:p>
        </w:tc>
      </w:tr>
      <w:tr w:rsidR="008623F2" w:rsidRPr="008623F2" w14:paraId="4449F929" w14:textId="77777777" w:rsidTr="00A841F7">
        <w:trPr>
          <w:trHeight w:val="300"/>
        </w:trPr>
        <w:tc>
          <w:tcPr>
            <w:tcW w:w="12950" w:type="dxa"/>
          </w:tcPr>
          <w:p w14:paraId="63A17673" w14:textId="77777777" w:rsidR="008623F2" w:rsidRPr="008623F2" w:rsidRDefault="008623F2" w:rsidP="008623F2">
            <w:pPr>
              <w:jc w:val="both"/>
              <w:rPr>
                <w:rFonts w:ascii="Aptos" w:hAnsi="Aptos"/>
                <w:sz w:val="22"/>
                <w:szCs w:val="22"/>
                <w:lang w:val="en-IE" w:eastAsia="en-GB"/>
              </w:rPr>
            </w:pPr>
            <w:r w:rsidRPr="008623F2">
              <w:rPr>
                <w:rFonts w:ascii="Aptos" w:hAnsi="Aptos"/>
                <w:sz w:val="22"/>
                <w:szCs w:val="22"/>
                <w:lang w:val="en-IE" w:eastAsia="en-GB"/>
              </w:rPr>
              <w:t>White: Articles/paragraphs where transposition is not required</w:t>
            </w:r>
          </w:p>
        </w:tc>
      </w:tr>
    </w:tbl>
    <w:p w14:paraId="5F3A0CB9" w14:textId="7BD38D5A" w:rsidR="00D31B59" w:rsidRPr="00065DF3" w:rsidRDefault="00D31B59"/>
    <w:tbl>
      <w:tblPr>
        <w:tblStyle w:val="Grilledutableau"/>
        <w:tblpPr w:leftFromText="180" w:rightFromText="180" w:horzAnchor="margin" w:tblpXSpec="center" w:tblpY="-225"/>
        <w:tblW w:w="5665" w:type="pct"/>
        <w:tblLayout w:type="fixed"/>
        <w:tblLook w:val="04A0" w:firstRow="1" w:lastRow="0" w:firstColumn="1" w:lastColumn="0" w:noHBand="0" w:noVBand="1"/>
      </w:tblPr>
      <w:tblGrid>
        <w:gridCol w:w="1440"/>
        <w:gridCol w:w="3603"/>
        <w:gridCol w:w="3733"/>
        <w:gridCol w:w="3237"/>
        <w:gridCol w:w="968"/>
        <w:gridCol w:w="1673"/>
        <w:gridCol w:w="18"/>
      </w:tblGrid>
      <w:tr w:rsidR="00677055" w:rsidRPr="00A80046" w14:paraId="34716079" w14:textId="77777777" w:rsidTr="004D63F1">
        <w:trPr>
          <w:trHeight w:val="300"/>
        </w:trPr>
        <w:tc>
          <w:tcPr>
            <w:tcW w:w="1719" w:type="pct"/>
            <w:gridSpan w:val="2"/>
            <w:shd w:val="clear" w:color="auto" w:fill="C1E4F5" w:themeFill="accent1" w:themeFillTint="33"/>
            <w:vAlign w:val="center"/>
          </w:tcPr>
          <w:p w14:paraId="4B3A9AFB" w14:textId="77777777" w:rsidR="00677055" w:rsidRPr="00F74F55" w:rsidRDefault="00677055" w:rsidP="004D63F1">
            <w:pPr>
              <w:spacing w:line="240" w:lineRule="auto"/>
              <w:jc w:val="center"/>
              <w:rPr>
                <w:rFonts w:ascii="Aptos" w:hAnsi="Aptos"/>
                <w:b/>
                <w:bCs/>
                <w:sz w:val="22"/>
                <w:szCs w:val="22"/>
                <w:lang w:val="en-GB" w:eastAsia="en-GB"/>
              </w:rPr>
            </w:pPr>
            <w:r w:rsidRPr="00F74F55">
              <w:rPr>
                <w:rFonts w:ascii="Aptos" w:hAnsi="Aptos"/>
                <w:b/>
                <w:bCs/>
                <w:sz w:val="22"/>
                <w:szCs w:val="22"/>
                <w:lang w:val="en-GB" w:eastAsia="en-GB"/>
              </w:rPr>
              <w:lastRenderedPageBreak/>
              <w:t>Directive</w:t>
            </w:r>
          </w:p>
        </w:tc>
        <w:tc>
          <w:tcPr>
            <w:tcW w:w="3281" w:type="pct"/>
            <w:gridSpan w:val="5"/>
            <w:shd w:val="clear" w:color="auto" w:fill="FAE2D5" w:themeFill="accent2" w:themeFillTint="33"/>
          </w:tcPr>
          <w:p w14:paraId="225866ED" w14:textId="77777777" w:rsidR="00677055" w:rsidRPr="00A80046" w:rsidRDefault="00677055" w:rsidP="004D63F1">
            <w:pPr>
              <w:spacing w:line="240" w:lineRule="auto"/>
              <w:jc w:val="center"/>
              <w:rPr>
                <w:rFonts w:ascii="Aptos" w:hAnsi="Aptos"/>
                <w:b/>
                <w:bCs/>
                <w:sz w:val="22"/>
                <w:szCs w:val="22"/>
                <w:lang w:val="en-GB" w:eastAsia="en-GB"/>
              </w:rPr>
            </w:pPr>
            <w:r w:rsidRPr="00A80046">
              <w:rPr>
                <w:rFonts w:ascii="Aptos" w:hAnsi="Aptos"/>
                <w:b/>
                <w:bCs/>
                <w:sz w:val="22"/>
                <w:szCs w:val="22"/>
                <w:lang w:val="en-GB" w:eastAsia="en-GB"/>
              </w:rPr>
              <w:t xml:space="preserve">État des </w:t>
            </w:r>
            <w:proofErr w:type="spellStart"/>
            <w:r w:rsidRPr="00A80046">
              <w:rPr>
                <w:rFonts w:ascii="Aptos" w:hAnsi="Aptos"/>
                <w:b/>
                <w:bCs/>
                <w:sz w:val="22"/>
                <w:szCs w:val="22"/>
                <w:lang w:val="en-GB" w:eastAsia="en-GB"/>
              </w:rPr>
              <w:t>lieux</w:t>
            </w:r>
            <w:proofErr w:type="spellEnd"/>
            <w:r w:rsidRPr="00A80046">
              <w:rPr>
                <w:rFonts w:ascii="Aptos" w:hAnsi="Aptos"/>
                <w:b/>
                <w:bCs/>
                <w:sz w:val="22"/>
                <w:szCs w:val="22"/>
                <w:lang w:val="en-GB" w:eastAsia="en-GB"/>
              </w:rPr>
              <w:t xml:space="preserve"> Belgique</w:t>
            </w:r>
          </w:p>
        </w:tc>
      </w:tr>
      <w:tr w:rsidR="00677055" w:rsidRPr="00A80046" w14:paraId="235CCF4C" w14:textId="77777777" w:rsidTr="004D63F1">
        <w:trPr>
          <w:gridAfter w:val="1"/>
          <w:wAfter w:w="6" w:type="pct"/>
          <w:trHeight w:val="300"/>
        </w:trPr>
        <w:tc>
          <w:tcPr>
            <w:tcW w:w="491" w:type="pct"/>
            <w:shd w:val="clear" w:color="auto" w:fill="C1E4F5" w:themeFill="accent1" w:themeFillTint="33"/>
            <w:vAlign w:val="center"/>
          </w:tcPr>
          <w:p w14:paraId="7C8EDBA5" w14:textId="77777777" w:rsidR="00677055" w:rsidRPr="00F74F55" w:rsidRDefault="00677055" w:rsidP="004D63F1">
            <w:pPr>
              <w:spacing w:line="240" w:lineRule="auto"/>
              <w:jc w:val="center"/>
              <w:rPr>
                <w:rFonts w:ascii="Aptos" w:hAnsi="Aptos"/>
                <w:b/>
                <w:bCs/>
                <w:sz w:val="22"/>
                <w:szCs w:val="22"/>
                <w:lang w:val="en-GB" w:eastAsia="en-GB"/>
              </w:rPr>
            </w:pPr>
            <w:r>
              <w:rPr>
                <w:rFonts w:ascii="Aptos" w:hAnsi="Aptos"/>
                <w:b/>
                <w:bCs/>
                <w:sz w:val="22"/>
                <w:szCs w:val="22"/>
                <w:lang w:val="en-GB" w:eastAsia="en-GB"/>
              </w:rPr>
              <w:t>Disposition</w:t>
            </w:r>
          </w:p>
        </w:tc>
        <w:tc>
          <w:tcPr>
            <w:tcW w:w="1228" w:type="pct"/>
            <w:shd w:val="clear" w:color="auto" w:fill="C1E4F5" w:themeFill="accent1" w:themeFillTint="33"/>
            <w:vAlign w:val="center"/>
          </w:tcPr>
          <w:p w14:paraId="0F8D330B" w14:textId="77777777" w:rsidR="00677055" w:rsidRPr="00F74F55" w:rsidRDefault="00677055" w:rsidP="004D63F1">
            <w:pPr>
              <w:spacing w:line="240" w:lineRule="auto"/>
              <w:jc w:val="center"/>
              <w:rPr>
                <w:rFonts w:ascii="Aptos" w:hAnsi="Aptos"/>
                <w:b/>
                <w:bCs/>
                <w:sz w:val="22"/>
                <w:szCs w:val="22"/>
                <w:lang w:val="en-GB" w:eastAsia="en-GB"/>
              </w:rPr>
            </w:pPr>
            <w:r w:rsidRPr="00F74F55">
              <w:rPr>
                <w:rFonts w:ascii="Aptos" w:hAnsi="Aptos"/>
                <w:b/>
                <w:bCs/>
                <w:sz w:val="22"/>
                <w:szCs w:val="22"/>
                <w:lang w:val="en-GB" w:eastAsia="en-GB"/>
              </w:rPr>
              <w:t>Description of the obligation</w:t>
            </w:r>
          </w:p>
        </w:tc>
        <w:tc>
          <w:tcPr>
            <w:tcW w:w="1272" w:type="pct"/>
            <w:shd w:val="clear" w:color="auto" w:fill="FAE2D5" w:themeFill="accent2" w:themeFillTint="33"/>
            <w:vAlign w:val="center"/>
          </w:tcPr>
          <w:p w14:paraId="36EBE844" w14:textId="77777777" w:rsidR="00677055" w:rsidRPr="00F74F55" w:rsidRDefault="00677055" w:rsidP="004D63F1">
            <w:pPr>
              <w:spacing w:line="240" w:lineRule="auto"/>
              <w:jc w:val="center"/>
              <w:rPr>
                <w:rFonts w:ascii="Aptos" w:hAnsi="Aptos"/>
                <w:b/>
                <w:bCs/>
                <w:sz w:val="22"/>
                <w:szCs w:val="22"/>
                <w:lang w:val="en-GB" w:eastAsia="en-GB"/>
              </w:rPr>
            </w:pPr>
            <w:proofErr w:type="spellStart"/>
            <w:r w:rsidRPr="00A80046">
              <w:rPr>
                <w:rFonts w:ascii="Aptos" w:hAnsi="Aptos"/>
                <w:b/>
                <w:bCs/>
                <w:sz w:val="22"/>
                <w:szCs w:val="22"/>
                <w:lang w:val="en-GB" w:eastAsia="en-GB"/>
              </w:rPr>
              <w:t>Compétence</w:t>
            </w:r>
            <w:proofErr w:type="spellEnd"/>
          </w:p>
        </w:tc>
        <w:tc>
          <w:tcPr>
            <w:tcW w:w="1103" w:type="pct"/>
            <w:shd w:val="clear" w:color="auto" w:fill="FAE2D5" w:themeFill="accent2" w:themeFillTint="33"/>
            <w:vAlign w:val="center"/>
          </w:tcPr>
          <w:p w14:paraId="133A462F" w14:textId="77777777" w:rsidR="00677055" w:rsidRPr="00F74F55" w:rsidRDefault="00677055" w:rsidP="004D63F1">
            <w:pPr>
              <w:spacing w:line="240" w:lineRule="auto"/>
              <w:jc w:val="center"/>
              <w:rPr>
                <w:rFonts w:ascii="Aptos" w:hAnsi="Aptos"/>
                <w:b/>
                <w:bCs/>
                <w:sz w:val="22"/>
                <w:szCs w:val="22"/>
                <w:lang w:val="en-GB" w:eastAsia="en-GB"/>
              </w:rPr>
            </w:pPr>
            <w:proofErr w:type="spellStart"/>
            <w:r w:rsidRPr="00A80046">
              <w:rPr>
                <w:rFonts w:ascii="Aptos" w:hAnsi="Aptos"/>
                <w:b/>
                <w:bCs/>
                <w:sz w:val="22"/>
                <w:szCs w:val="22"/>
                <w:lang w:val="en-GB" w:eastAsia="en-GB"/>
              </w:rPr>
              <w:t>Législation</w:t>
            </w:r>
            <w:proofErr w:type="spellEnd"/>
          </w:p>
        </w:tc>
        <w:tc>
          <w:tcPr>
            <w:tcW w:w="330" w:type="pct"/>
            <w:shd w:val="clear" w:color="auto" w:fill="FAE2D5" w:themeFill="accent2" w:themeFillTint="33"/>
            <w:vAlign w:val="center"/>
          </w:tcPr>
          <w:p w14:paraId="3DA32582" w14:textId="77777777" w:rsidR="00677055" w:rsidRDefault="00677055" w:rsidP="004D63F1">
            <w:pPr>
              <w:spacing w:line="240" w:lineRule="auto"/>
              <w:jc w:val="center"/>
              <w:rPr>
                <w:rFonts w:ascii="Aptos" w:hAnsi="Aptos"/>
                <w:b/>
                <w:bCs/>
                <w:sz w:val="22"/>
                <w:szCs w:val="22"/>
                <w:lang w:val="en-GB" w:eastAsia="en-GB"/>
              </w:rPr>
            </w:pPr>
            <w:r w:rsidRPr="00A80046">
              <w:rPr>
                <w:rFonts w:ascii="Aptos" w:hAnsi="Aptos"/>
                <w:b/>
                <w:bCs/>
                <w:sz w:val="22"/>
                <w:szCs w:val="22"/>
                <w:lang w:val="en-GB" w:eastAsia="en-GB"/>
              </w:rPr>
              <w:t>Modification necessaire?</w:t>
            </w:r>
          </w:p>
          <w:p w14:paraId="36E2BB0D" w14:textId="77777777" w:rsidR="00677055" w:rsidRPr="00A80046" w:rsidRDefault="00677055" w:rsidP="004D63F1">
            <w:pPr>
              <w:spacing w:line="240" w:lineRule="auto"/>
              <w:jc w:val="center"/>
              <w:rPr>
                <w:rFonts w:ascii="Aptos" w:hAnsi="Aptos"/>
                <w:b/>
                <w:bCs/>
                <w:sz w:val="22"/>
                <w:szCs w:val="22"/>
                <w:lang w:val="en-GB" w:eastAsia="en-GB"/>
              </w:rPr>
            </w:pPr>
            <w:r>
              <w:rPr>
                <w:rFonts w:ascii="Aptos" w:hAnsi="Aptos"/>
                <w:b/>
                <w:bCs/>
                <w:sz w:val="22"/>
                <w:szCs w:val="22"/>
                <w:lang w:val="en-GB" w:eastAsia="en-GB"/>
              </w:rPr>
              <w:t>(Oui/Non)</w:t>
            </w:r>
          </w:p>
        </w:tc>
        <w:tc>
          <w:tcPr>
            <w:tcW w:w="570" w:type="pct"/>
            <w:shd w:val="clear" w:color="auto" w:fill="FAE2D5" w:themeFill="accent2" w:themeFillTint="33"/>
          </w:tcPr>
          <w:p w14:paraId="332EBEDC" w14:textId="77777777" w:rsidR="00677055" w:rsidRPr="00A80046" w:rsidRDefault="00677055" w:rsidP="004D63F1">
            <w:pPr>
              <w:spacing w:line="240" w:lineRule="auto"/>
              <w:jc w:val="center"/>
              <w:rPr>
                <w:rFonts w:ascii="Aptos" w:hAnsi="Aptos"/>
                <w:b/>
                <w:bCs/>
                <w:sz w:val="22"/>
                <w:szCs w:val="22"/>
                <w:lang w:val="en-GB" w:eastAsia="en-GB"/>
              </w:rPr>
            </w:pPr>
            <w:proofErr w:type="spellStart"/>
            <w:r>
              <w:rPr>
                <w:rFonts w:ascii="Aptos" w:hAnsi="Aptos"/>
                <w:b/>
                <w:bCs/>
                <w:sz w:val="22"/>
                <w:szCs w:val="22"/>
                <w:lang w:val="en-GB" w:eastAsia="en-GB"/>
              </w:rPr>
              <w:t>Commentaire</w:t>
            </w:r>
            <w:proofErr w:type="spellEnd"/>
          </w:p>
        </w:tc>
      </w:tr>
    </w:tbl>
    <w:tbl>
      <w:tblPr>
        <w:tblStyle w:val="Grilledutableau"/>
        <w:tblW w:w="5945" w:type="pct"/>
        <w:tblInd w:w="-856" w:type="dxa"/>
        <w:tblLayout w:type="fixed"/>
        <w:tblLook w:val="04A0" w:firstRow="1" w:lastRow="0" w:firstColumn="1" w:lastColumn="0" w:noHBand="0" w:noVBand="1"/>
      </w:tblPr>
      <w:tblGrid>
        <w:gridCol w:w="1417"/>
        <w:gridCol w:w="3689"/>
        <w:gridCol w:w="3683"/>
        <w:gridCol w:w="3261"/>
        <w:gridCol w:w="992"/>
        <w:gridCol w:w="2356"/>
      </w:tblGrid>
      <w:tr w:rsidR="00677055" w:rsidRPr="008623F2" w14:paraId="61B7B917" w14:textId="77777777" w:rsidTr="004D63F1">
        <w:trPr>
          <w:trHeight w:val="269"/>
        </w:trPr>
        <w:tc>
          <w:tcPr>
            <w:tcW w:w="460" w:type="pct"/>
            <w:shd w:val="clear" w:color="auto" w:fill="FFFFCC"/>
          </w:tcPr>
          <w:p w14:paraId="3A895420" w14:textId="77777777" w:rsidR="00677055" w:rsidRPr="008623F2" w:rsidRDefault="00677055" w:rsidP="004D63F1">
            <w:pPr>
              <w:spacing w:line="240" w:lineRule="auto"/>
              <w:rPr>
                <w:rFonts w:ascii="Aptos" w:hAnsi="Aptos"/>
                <w:b/>
                <w:bCs/>
                <w:sz w:val="22"/>
                <w:szCs w:val="22"/>
                <w:lang w:val="en-GB" w:eastAsia="en-GB"/>
              </w:rPr>
            </w:pPr>
          </w:p>
        </w:tc>
        <w:tc>
          <w:tcPr>
            <w:tcW w:w="1198" w:type="pct"/>
            <w:shd w:val="clear" w:color="auto" w:fill="FFFFCC"/>
          </w:tcPr>
          <w:p w14:paraId="416D2E56" w14:textId="77777777" w:rsidR="00677055" w:rsidRPr="008623F2" w:rsidRDefault="00677055" w:rsidP="004D63F1">
            <w:pPr>
              <w:spacing w:line="240" w:lineRule="auto"/>
              <w:rPr>
                <w:rFonts w:ascii="Aptos" w:hAnsi="Aptos"/>
                <w:b/>
                <w:bCs/>
                <w:sz w:val="22"/>
                <w:szCs w:val="22"/>
                <w:lang w:val="en-GB" w:eastAsia="en-GB"/>
              </w:rPr>
            </w:pPr>
            <w:r w:rsidRPr="008623F2">
              <w:rPr>
                <w:rFonts w:ascii="Aptos" w:hAnsi="Aptos"/>
                <w:b/>
                <w:bCs/>
                <w:sz w:val="22"/>
                <w:szCs w:val="22"/>
                <w:lang w:val="en-GB" w:eastAsia="en-GB"/>
              </w:rPr>
              <w:t>Aggravating circumstances</w:t>
            </w:r>
          </w:p>
        </w:tc>
        <w:tc>
          <w:tcPr>
            <w:tcW w:w="1196" w:type="pct"/>
            <w:tcBorders>
              <w:top w:val="single" w:sz="4" w:space="0" w:color="auto"/>
              <w:bottom w:val="single" w:sz="4" w:space="0" w:color="auto"/>
              <w:right w:val="single" w:sz="4" w:space="0" w:color="auto"/>
            </w:tcBorders>
            <w:shd w:val="clear" w:color="auto" w:fill="FFFFCC"/>
          </w:tcPr>
          <w:p w14:paraId="14976380" w14:textId="77777777" w:rsidR="00677055" w:rsidRPr="008623F2" w:rsidRDefault="00677055" w:rsidP="004D63F1">
            <w:pPr>
              <w:spacing w:line="240" w:lineRule="auto"/>
              <w:rPr>
                <w:rFonts w:ascii="Aptos" w:hAnsi="Aptos"/>
                <w:sz w:val="22"/>
                <w:szCs w:val="22"/>
                <w:lang w:val="en-GB" w:eastAsia="en-GB"/>
              </w:rPr>
            </w:pPr>
            <w:r w:rsidRPr="008623F2">
              <w:rPr>
                <w:rFonts w:ascii="Aptos" w:hAnsi="Aptos"/>
                <w:sz w:val="22"/>
                <w:szCs w:val="22"/>
                <w:lang w:val="en-GB" w:eastAsia="en-GB"/>
              </w:rPr>
              <w:t>SPF Justice</w:t>
            </w:r>
          </w:p>
        </w:tc>
        <w:tc>
          <w:tcPr>
            <w:tcW w:w="1059" w:type="pct"/>
            <w:tcBorders>
              <w:top w:val="single" w:sz="4" w:space="0" w:color="auto"/>
              <w:left w:val="single" w:sz="4" w:space="0" w:color="auto"/>
              <w:bottom w:val="single" w:sz="4" w:space="0" w:color="auto"/>
              <w:right w:val="single" w:sz="4" w:space="0" w:color="auto"/>
            </w:tcBorders>
            <w:shd w:val="clear" w:color="auto" w:fill="FFFFCC"/>
          </w:tcPr>
          <w:p w14:paraId="0ED0D934" w14:textId="77777777" w:rsidR="00677055" w:rsidRPr="008623F2" w:rsidRDefault="00677055" w:rsidP="004D63F1">
            <w:pPr>
              <w:spacing w:line="240" w:lineRule="auto"/>
              <w:rPr>
                <w:rFonts w:ascii="Aptos" w:hAnsi="Aptos"/>
                <w:sz w:val="22"/>
                <w:szCs w:val="22"/>
                <w:lang w:val="en-GB" w:eastAsia="en-GB"/>
              </w:rPr>
            </w:pPr>
          </w:p>
        </w:tc>
        <w:tc>
          <w:tcPr>
            <w:tcW w:w="322" w:type="pct"/>
            <w:tcBorders>
              <w:top w:val="single" w:sz="4" w:space="0" w:color="auto"/>
              <w:left w:val="single" w:sz="4" w:space="0" w:color="auto"/>
              <w:bottom w:val="single" w:sz="4" w:space="0" w:color="auto"/>
              <w:right w:val="single" w:sz="4" w:space="0" w:color="auto"/>
            </w:tcBorders>
          </w:tcPr>
          <w:p w14:paraId="7D29601A" w14:textId="77777777" w:rsidR="00677055" w:rsidRPr="008623F2" w:rsidRDefault="00677055" w:rsidP="004D63F1">
            <w:pPr>
              <w:spacing w:line="240" w:lineRule="auto"/>
              <w:rPr>
                <w:rFonts w:ascii="Aptos" w:hAnsi="Aptos"/>
                <w:sz w:val="22"/>
                <w:szCs w:val="22"/>
                <w:lang w:val="en-GB" w:eastAsia="en-GB"/>
              </w:rPr>
            </w:pPr>
          </w:p>
        </w:tc>
        <w:tc>
          <w:tcPr>
            <w:tcW w:w="765" w:type="pct"/>
            <w:tcBorders>
              <w:top w:val="single" w:sz="4" w:space="0" w:color="auto"/>
              <w:left w:val="single" w:sz="4" w:space="0" w:color="auto"/>
              <w:bottom w:val="single" w:sz="4" w:space="0" w:color="auto"/>
              <w:right w:val="single" w:sz="4" w:space="0" w:color="auto"/>
            </w:tcBorders>
          </w:tcPr>
          <w:p w14:paraId="3758B8D6" w14:textId="77777777" w:rsidR="00677055" w:rsidRPr="008623F2" w:rsidRDefault="00677055" w:rsidP="004D63F1">
            <w:pPr>
              <w:spacing w:line="240" w:lineRule="auto"/>
              <w:rPr>
                <w:rFonts w:ascii="Aptos" w:hAnsi="Aptos"/>
                <w:sz w:val="22"/>
                <w:szCs w:val="22"/>
                <w:lang w:val="en-GB" w:eastAsia="en-GB"/>
              </w:rPr>
            </w:pPr>
          </w:p>
        </w:tc>
      </w:tr>
      <w:tr w:rsidR="00677055" w:rsidRPr="00065DF3" w14:paraId="2E516236" w14:textId="77777777" w:rsidTr="004D63F1">
        <w:tc>
          <w:tcPr>
            <w:tcW w:w="460" w:type="pct"/>
            <w:shd w:val="clear" w:color="auto" w:fill="D9F2D0" w:themeFill="accent6" w:themeFillTint="33"/>
          </w:tcPr>
          <w:p w14:paraId="60448EE8"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21 (e)</w:t>
            </w:r>
          </w:p>
        </w:tc>
        <w:tc>
          <w:tcPr>
            <w:tcW w:w="1198" w:type="pct"/>
            <w:shd w:val="clear" w:color="auto" w:fill="D9F2D0" w:themeFill="accent6" w:themeFillTint="33"/>
          </w:tcPr>
          <w:p w14:paraId="412B352B" w14:textId="77777777" w:rsidR="00677055" w:rsidRPr="00F74F55" w:rsidRDefault="00677055" w:rsidP="004D63F1">
            <w:pPr>
              <w:spacing w:line="240" w:lineRule="auto"/>
              <w:rPr>
                <w:rFonts w:ascii="Aptos" w:hAnsi="Aptos"/>
                <w:sz w:val="22"/>
                <w:szCs w:val="22"/>
                <w:lang w:val="en-GB" w:eastAsia="en-GB"/>
              </w:rPr>
            </w:pPr>
            <w:r w:rsidRPr="00F74F55">
              <w:rPr>
                <w:rFonts w:ascii="Aptos" w:hAnsi="Aptos"/>
                <w:sz w:val="22"/>
                <w:szCs w:val="22"/>
                <w:lang w:val="en-GB" w:eastAsia="en-GB"/>
              </w:rPr>
              <w:t>Treating victims in a trauma-, gender-, disability- and child-sensitive manner.</w:t>
            </w:r>
          </w:p>
        </w:tc>
        <w:tc>
          <w:tcPr>
            <w:tcW w:w="1196" w:type="pct"/>
            <w:tcBorders>
              <w:top w:val="single" w:sz="4" w:space="0" w:color="auto"/>
              <w:bottom w:val="single" w:sz="4" w:space="0" w:color="auto"/>
              <w:right w:val="single" w:sz="4" w:space="0" w:color="auto"/>
            </w:tcBorders>
            <w:shd w:val="clear" w:color="auto" w:fill="D9F2D0" w:themeFill="accent6" w:themeFillTint="33"/>
          </w:tcPr>
          <w:p w14:paraId="31A39920" w14:textId="77777777" w:rsidR="00677055" w:rsidRPr="00F74F55" w:rsidRDefault="00677055" w:rsidP="004D63F1">
            <w:pPr>
              <w:spacing w:line="240" w:lineRule="auto"/>
              <w:rPr>
                <w:rFonts w:ascii="Aptos" w:hAnsi="Aptos"/>
                <w:sz w:val="22"/>
                <w:szCs w:val="22"/>
                <w:lang w:eastAsia="en-GB"/>
              </w:rPr>
            </w:pPr>
            <w:commentRangeStart w:id="0"/>
            <w:r w:rsidRPr="62B288E9">
              <w:rPr>
                <w:rFonts w:ascii="Aptos" w:hAnsi="Aptos"/>
                <w:sz w:val="22"/>
                <w:szCs w:val="22"/>
                <w:lang w:eastAsia="en-GB"/>
              </w:rPr>
              <w:t>Police Fédérale (formation), SPF Justice (directives), Services d'aide aux victimes (formation)</w:t>
            </w:r>
            <w:commentRangeEnd w:id="0"/>
            <w:r>
              <w:rPr>
                <w:rStyle w:val="Marquedecommentaire"/>
                <w:rFonts w:eastAsiaTheme="majorEastAsia"/>
              </w:rPr>
              <w:commentReference w:id="0"/>
            </w:r>
          </w:p>
        </w:tc>
        <w:tc>
          <w:tcPr>
            <w:tcW w:w="1059"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C3626AE" w14:textId="77777777" w:rsidR="00677055" w:rsidRPr="00F74F55" w:rsidRDefault="00677055" w:rsidP="004D63F1">
            <w:pPr>
              <w:spacing w:line="240" w:lineRule="auto"/>
              <w:rPr>
                <w:rFonts w:ascii="Aptos" w:hAnsi="Aptos"/>
                <w:sz w:val="22"/>
                <w:szCs w:val="22"/>
                <w:lang w:eastAsia="en-GB"/>
              </w:rPr>
            </w:pPr>
          </w:p>
        </w:tc>
        <w:tc>
          <w:tcPr>
            <w:tcW w:w="322" w:type="pct"/>
            <w:tcBorders>
              <w:top w:val="single" w:sz="4" w:space="0" w:color="auto"/>
              <w:left w:val="single" w:sz="4" w:space="0" w:color="auto"/>
              <w:bottom w:val="single" w:sz="4" w:space="0" w:color="auto"/>
              <w:right w:val="single" w:sz="4" w:space="0" w:color="auto"/>
            </w:tcBorders>
          </w:tcPr>
          <w:p w14:paraId="7476DB0B" w14:textId="77777777" w:rsidR="00677055" w:rsidRPr="00816C23" w:rsidRDefault="00677055" w:rsidP="004D63F1">
            <w:pPr>
              <w:spacing w:line="240" w:lineRule="auto"/>
              <w:rPr>
                <w:rFonts w:ascii="Aptos" w:hAnsi="Aptos"/>
                <w:sz w:val="22"/>
                <w:szCs w:val="22"/>
                <w:lang w:eastAsia="en-GB"/>
              </w:rPr>
            </w:pPr>
          </w:p>
        </w:tc>
        <w:tc>
          <w:tcPr>
            <w:tcW w:w="765" w:type="pct"/>
            <w:tcBorders>
              <w:top w:val="single" w:sz="4" w:space="0" w:color="auto"/>
              <w:left w:val="single" w:sz="4" w:space="0" w:color="auto"/>
              <w:bottom w:val="single" w:sz="4" w:space="0" w:color="auto"/>
              <w:right w:val="single" w:sz="4" w:space="0" w:color="auto"/>
            </w:tcBorders>
          </w:tcPr>
          <w:p w14:paraId="0EBE1C53" w14:textId="77777777" w:rsidR="00677055" w:rsidRPr="00816C23" w:rsidRDefault="00677055" w:rsidP="004D63F1">
            <w:pPr>
              <w:spacing w:line="240" w:lineRule="auto"/>
              <w:rPr>
                <w:rFonts w:ascii="Aptos" w:hAnsi="Aptos"/>
                <w:sz w:val="22"/>
                <w:szCs w:val="22"/>
                <w:lang w:eastAsia="en-GB"/>
              </w:rPr>
            </w:pPr>
          </w:p>
        </w:tc>
      </w:tr>
      <w:tr w:rsidR="00677055" w:rsidRPr="00065DF3" w14:paraId="0364F7AB" w14:textId="77777777" w:rsidTr="004D63F1">
        <w:tc>
          <w:tcPr>
            <w:tcW w:w="460" w:type="pct"/>
            <w:shd w:val="clear" w:color="auto" w:fill="FFFFCC"/>
          </w:tcPr>
          <w:p w14:paraId="03318517"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29 §2</w:t>
            </w:r>
          </w:p>
        </w:tc>
        <w:tc>
          <w:tcPr>
            <w:tcW w:w="1198" w:type="pct"/>
            <w:shd w:val="clear" w:color="auto" w:fill="FFFFCC"/>
          </w:tcPr>
          <w:p w14:paraId="1DCB842C" w14:textId="77777777" w:rsidR="00677055" w:rsidRPr="00F74F55" w:rsidRDefault="00677055" w:rsidP="004D63F1">
            <w:pPr>
              <w:spacing w:line="240" w:lineRule="auto"/>
              <w:rPr>
                <w:rFonts w:ascii="Aptos" w:hAnsi="Aptos"/>
                <w:sz w:val="22"/>
                <w:szCs w:val="22"/>
                <w:lang w:val="en-GB" w:eastAsia="en-GB"/>
              </w:rPr>
            </w:pPr>
            <w:r w:rsidRPr="00F74F55">
              <w:rPr>
                <w:rFonts w:ascii="Aptos" w:hAnsi="Aptos"/>
                <w:sz w:val="22"/>
                <w:szCs w:val="22"/>
                <w:lang w:val="en-GB" w:eastAsia="en-GB"/>
              </w:rPr>
              <w:t>Ensuring services are accessible for end-users with disabilities.</w:t>
            </w:r>
          </w:p>
        </w:tc>
        <w:tc>
          <w:tcPr>
            <w:tcW w:w="1196" w:type="pct"/>
            <w:shd w:val="clear" w:color="auto" w:fill="FFFFCC"/>
          </w:tcPr>
          <w:p w14:paraId="239A4409" w14:textId="77777777" w:rsidR="00677055" w:rsidRPr="00F74F55" w:rsidRDefault="00677055" w:rsidP="004D63F1">
            <w:pPr>
              <w:spacing w:line="240" w:lineRule="auto"/>
              <w:rPr>
                <w:rFonts w:ascii="Aptos" w:hAnsi="Aptos"/>
                <w:sz w:val="22"/>
                <w:szCs w:val="22"/>
                <w:lang w:eastAsia="en-GB"/>
              </w:rPr>
            </w:pPr>
            <w:r w:rsidRPr="00794279">
              <w:rPr>
                <w:rFonts w:ascii="Aptos" w:hAnsi="Aptos"/>
                <w:sz w:val="22"/>
                <w:szCs w:val="22"/>
                <w:lang w:eastAsia="en-GB"/>
              </w:rPr>
              <w:t xml:space="preserve">IEHF/IGVM, </w:t>
            </w:r>
            <w:r w:rsidRPr="003E69B9">
              <w:rPr>
                <w:rFonts w:ascii="Aptos" w:hAnsi="Aptos"/>
                <w:sz w:val="22"/>
                <w:szCs w:val="22"/>
                <w:lang w:eastAsia="en-GB"/>
              </w:rPr>
              <w:t>Communautés et Régions</w:t>
            </w:r>
          </w:p>
        </w:tc>
        <w:tc>
          <w:tcPr>
            <w:tcW w:w="1059" w:type="pct"/>
            <w:shd w:val="clear" w:color="auto" w:fill="FFFFCC"/>
          </w:tcPr>
          <w:p w14:paraId="7030D2A7" w14:textId="77777777" w:rsidR="00677055" w:rsidRPr="00F74F55" w:rsidRDefault="00677055" w:rsidP="004D63F1">
            <w:pPr>
              <w:spacing w:line="240" w:lineRule="auto"/>
              <w:rPr>
                <w:rFonts w:ascii="Aptos" w:hAnsi="Aptos"/>
                <w:sz w:val="22"/>
                <w:szCs w:val="22"/>
                <w:lang w:eastAsia="en-GB"/>
              </w:rPr>
            </w:pPr>
          </w:p>
        </w:tc>
        <w:tc>
          <w:tcPr>
            <w:tcW w:w="322" w:type="pct"/>
          </w:tcPr>
          <w:p w14:paraId="1C0E3227" w14:textId="77777777" w:rsidR="00677055" w:rsidRPr="00A80046" w:rsidRDefault="00677055" w:rsidP="004D63F1">
            <w:pPr>
              <w:spacing w:line="240" w:lineRule="auto"/>
              <w:rPr>
                <w:rFonts w:ascii="Aptos" w:hAnsi="Aptos"/>
                <w:sz w:val="22"/>
                <w:szCs w:val="22"/>
                <w:lang w:eastAsia="en-GB"/>
              </w:rPr>
            </w:pPr>
          </w:p>
        </w:tc>
        <w:tc>
          <w:tcPr>
            <w:tcW w:w="765" w:type="pct"/>
          </w:tcPr>
          <w:p w14:paraId="67A6C1C8" w14:textId="77777777" w:rsidR="00677055" w:rsidRPr="00A80046" w:rsidRDefault="00677055" w:rsidP="004D63F1">
            <w:pPr>
              <w:spacing w:line="240" w:lineRule="auto"/>
              <w:rPr>
                <w:rFonts w:ascii="Aptos" w:hAnsi="Aptos"/>
                <w:sz w:val="22"/>
                <w:szCs w:val="22"/>
                <w:lang w:eastAsia="en-GB"/>
              </w:rPr>
            </w:pPr>
          </w:p>
        </w:tc>
      </w:tr>
      <w:tr w:rsidR="00677055" w:rsidRPr="00A841F7" w14:paraId="534F8463" w14:textId="77777777" w:rsidTr="004D63F1">
        <w:tc>
          <w:tcPr>
            <w:tcW w:w="460" w:type="pct"/>
            <w:shd w:val="clear" w:color="auto" w:fill="FFFFCC"/>
          </w:tcPr>
          <w:p w14:paraId="537DFEB6"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33 §2</w:t>
            </w:r>
          </w:p>
        </w:tc>
        <w:tc>
          <w:tcPr>
            <w:tcW w:w="1198" w:type="pct"/>
            <w:shd w:val="clear" w:color="auto" w:fill="FFFFCC"/>
          </w:tcPr>
          <w:p w14:paraId="23A170AC" w14:textId="77777777" w:rsidR="00677055" w:rsidRPr="00F74F55" w:rsidRDefault="00677055" w:rsidP="004D63F1">
            <w:pPr>
              <w:spacing w:line="240" w:lineRule="auto"/>
              <w:rPr>
                <w:rFonts w:ascii="Aptos" w:hAnsi="Aptos"/>
                <w:sz w:val="22"/>
                <w:szCs w:val="22"/>
                <w:lang w:val="en-GB" w:eastAsia="en-GB"/>
              </w:rPr>
            </w:pPr>
            <w:commentRangeStart w:id="1"/>
            <w:r w:rsidRPr="62B288E9">
              <w:rPr>
                <w:rFonts w:ascii="Aptos" w:hAnsi="Aptos"/>
                <w:sz w:val="22"/>
                <w:szCs w:val="22"/>
                <w:lang w:val="en-GB" w:eastAsia="en-GB"/>
              </w:rPr>
              <w:t>Support services to have sufficient capacity to accommodate victims with disabilities.</w:t>
            </w:r>
            <w:commentRangeEnd w:id="1"/>
            <w:r>
              <w:rPr>
                <w:rStyle w:val="Marquedecommentaire"/>
                <w:rFonts w:eastAsiaTheme="majorEastAsia"/>
              </w:rPr>
              <w:commentReference w:id="1"/>
            </w:r>
          </w:p>
        </w:tc>
        <w:tc>
          <w:tcPr>
            <w:tcW w:w="1196" w:type="pct"/>
            <w:shd w:val="clear" w:color="auto" w:fill="FFFFCC"/>
          </w:tcPr>
          <w:p w14:paraId="036C4730" w14:textId="77777777" w:rsidR="00677055" w:rsidRPr="00E97C68" w:rsidRDefault="00677055" w:rsidP="004D63F1">
            <w:pPr>
              <w:spacing w:line="240" w:lineRule="auto"/>
              <w:rPr>
                <w:rFonts w:ascii="Aptos" w:hAnsi="Aptos"/>
                <w:sz w:val="22"/>
                <w:szCs w:val="22"/>
                <w:lang w:val="en-GB" w:eastAsia="en-GB"/>
              </w:rPr>
            </w:pPr>
            <w:proofErr w:type="spellStart"/>
            <w:r w:rsidRPr="15F87F21">
              <w:rPr>
                <w:rFonts w:ascii="Aptos" w:hAnsi="Aptos"/>
                <w:sz w:val="22"/>
                <w:szCs w:val="22"/>
                <w:lang w:val="en-GB" w:eastAsia="en-GB"/>
              </w:rPr>
              <w:t>Agence</w:t>
            </w:r>
            <w:proofErr w:type="spellEnd"/>
            <w:r w:rsidRPr="15F87F21">
              <w:rPr>
                <w:rFonts w:ascii="Aptos" w:hAnsi="Aptos"/>
                <w:sz w:val="22"/>
                <w:szCs w:val="22"/>
                <w:lang w:val="en-GB" w:eastAsia="en-GB"/>
              </w:rPr>
              <w:t xml:space="preserve"> pour </w:t>
            </w:r>
            <w:proofErr w:type="spellStart"/>
            <w:r w:rsidRPr="15F87F21">
              <w:rPr>
                <w:rFonts w:ascii="Aptos" w:hAnsi="Aptos"/>
                <w:sz w:val="22"/>
                <w:szCs w:val="22"/>
                <w:lang w:val="en-GB" w:eastAsia="en-GB"/>
              </w:rPr>
              <w:t>une</w:t>
            </w:r>
            <w:proofErr w:type="spellEnd"/>
            <w:r w:rsidRPr="15F87F21">
              <w:rPr>
                <w:rFonts w:ascii="Aptos" w:hAnsi="Aptos"/>
                <w:sz w:val="22"/>
                <w:szCs w:val="22"/>
                <w:lang w:val="en-GB" w:eastAsia="en-GB"/>
              </w:rPr>
              <w:t xml:space="preserve"> Vie de </w:t>
            </w:r>
            <w:proofErr w:type="spellStart"/>
            <w:r w:rsidRPr="15F87F21">
              <w:rPr>
                <w:rFonts w:ascii="Aptos" w:hAnsi="Aptos"/>
                <w:sz w:val="22"/>
                <w:szCs w:val="22"/>
                <w:lang w:val="en-GB" w:eastAsia="en-GB"/>
              </w:rPr>
              <w:t>Qualité</w:t>
            </w:r>
            <w:proofErr w:type="spellEnd"/>
            <w:r w:rsidRPr="15F87F21">
              <w:rPr>
                <w:rFonts w:ascii="Aptos" w:hAnsi="Aptos"/>
                <w:sz w:val="22"/>
                <w:szCs w:val="22"/>
                <w:lang w:val="en-GB" w:eastAsia="en-GB"/>
              </w:rPr>
              <w:t xml:space="preserve"> (AVIQ - </w:t>
            </w:r>
            <w:proofErr w:type="spellStart"/>
            <w:r w:rsidRPr="15F87F21">
              <w:rPr>
                <w:rFonts w:ascii="Aptos" w:hAnsi="Aptos"/>
                <w:sz w:val="22"/>
                <w:szCs w:val="22"/>
                <w:lang w:val="en-GB" w:eastAsia="en-GB"/>
              </w:rPr>
              <w:t>Wallonie</w:t>
            </w:r>
            <w:proofErr w:type="spellEnd"/>
            <w:r w:rsidRPr="15F87F21">
              <w:rPr>
                <w:rFonts w:ascii="Aptos" w:hAnsi="Aptos"/>
                <w:sz w:val="22"/>
                <w:szCs w:val="22"/>
                <w:lang w:val="en-GB" w:eastAsia="en-GB"/>
              </w:rPr>
              <w:t xml:space="preserve">), </w:t>
            </w:r>
            <w:proofErr w:type="spellStart"/>
            <w:r w:rsidRPr="15F87F21">
              <w:rPr>
                <w:rFonts w:ascii="Aptos" w:hAnsi="Aptos"/>
                <w:sz w:val="22"/>
                <w:szCs w:val="22"/>
                <w:lang w:val="en-GB" w:eastAsia="en-GB"/>
              </w:rPr>
              <w:t>Vlaams</w:t>
            </w:r>
            <w:proofErr w:type="spellEnd"/>
            <w:r w:rsidRPr="15F87F21">
              <w:rPr>
                <w:rFonts w:ascii="Aptos" w:hAnsi="Aptos"/>
                <w:sz w:val="22"/>
                <w:szCs w:val="22"/>
                <w:lang w:val="en-GB" w:eastAsia="en-GB"/>
              </w:rPr>
              <w:t xml:space="preserve"> </w:t>
            </w:r>
            <w:proofErr w:type="spellStart"/>
            <w:r w:rsidRPr="15F87F21">
              <w:rPr>
                <w:rFonts w:ascii="Aptos" w:hAnsi="Aptos"/>
                <w:sz w:val="22"/>
                <w:szCs w:val="22"/>
                <w:lang w:val="en-GB" w:eastAsia="en-GB"/>
              </w:rPr>
              <w:t>Agentschap</w:t>
            </w:r>
            <w:proofErr w:type="spellEnd"/>
            <w:r w:rsidRPr="15F87F21">
              <w:rPr>
                <w:rFonts w:ascii="Aptos" w:hAnsi="Aptos"/>
                <w:sz w:val="22"/>
                <w:szCs w:val="22"/>
                <w:lang w:val="en-GB" w:eastAsia="en-GB"/>
              </w:rPr>
              <w:t xml:space="preserve"> </w:t>
            </w:r>
            <w:proofErr w:type="spellStart"/>
            <w:r w:rsidRPr="15F87F21">
              <w:rPr>
                <w:rFonts w:ascii="Aptos" w:hAnsi="Aptos"/>
                <w:sz w:val="22"/>
                <w:szCs w:val="22"/>
                <w:lang w:val="en-GB" w:eastAsia="en-GB"/>
              </w:rPr>
              <w:t>voor</w:t>
            </w:r>
            <w:proofErr w:type="spellEnd"/>
            <w:r w:rsidRPr="15F87F21">
              <w:rPr>
                <w:rFonts w:ascii="Aptos" w:hAnsi="Aptos"/>
                <w:sz w:val="22"/>
                <w:szCs w:val="22"/>
                <w:lang w:val="en-GB" w:eastAsia="en-GB"/>
              </w:rPr>
              <w:t xml:space="preserve"> </w:t>
            </w:r>
            <w:proofErr w:type="spellStart"/>
            <w:r w:rsidRPr="15F87F21">
              <w:rPr>
                <w:rFonts w:ascii="Aptos" w:hAnsi="Aptos"/>
                <w:sz w:val="22"/>
                <w:szCs w:val="22"/>
                <w:lang w:val="en-GB" w:eastAsia="en-GB"/>
              </w:rPr>
              <w:t>Personen</w:t>
            </w:r>
            <w:proofErr w:type="spellEnd"/>
            <w:r w:rsidRPr="15F87F21">
              <w:rPr>
                <w:rFonts w:ascii="Aptos" w:hAnsi="Aptos"/>
                <w:sz w:val="22"/>
                <w:szCs w:val="22"/>
                <w:lang w:val="en-GB" w:eastAsia="en-GB"/>
              </w:rPr>
              <w:t xml:space="preserve"> met </w:t>
            </w:r>
            <w:proofErr w:type="spellStart"/>
            <w:r w:rsidRPr="15F87F21">
              <w:rPr>
                <w:rFonts w:ascii="Aptos" w:hAnsi="Aptos"/>
                <w:sz w:val="22"/>
                <w:szCs w:val="22"/>
                <w:lang w:val="en-GB" w:eastAsia="en-GB"/>
              </w:rPr>
              <w:t>een</w:t>
            </w:r>
            <w:proofErr w:type="spellEnd"/>
            <w:r w:rsidRPr="15F87F21">
              <w:rPr>
                <w:rFonts w:ascii="Aptos" w:hAnsi="Aptos"/>
                <w:sz w:val="22"/>
                <w:szCs w:val="22"/>
                <w:lang w:val="en-GB" w:eastAsia="en-GB"/>
              </w:rPr>
              <w:t xml:space="preserve"> Handicap (VAPH - Flandre), Phare (Bruxelles), Dienst für </w:t>
            </w:r>
            <w:proofErr w:type="spellStart"/>
            <w:r w:rsidRPr="15F87F21">
              <w:rPr>
                <w:rFonts w:ascii="Aptos" w:hAnsi="Aptos"/>
                <w:sz w:val="22"/>
                <w:szCs w:val="22"/>
                <w:lang w:val="en-GB" w:eastAsia="en-GB"/>
              </w:rPr>
              <w:t>Personen</w:t>
            </w:r>
            <w:proofErr w:type="spellEnd"/>
            <w:r w:rsidRPr="15F87F21">
              <w:rPr>
                <w:rFonts w:ascii="Aptos" w:hAnsi="Aptos"/>
                <w:sz w:val="22"/>
                <w:szCs w:val="22"/>
                <w:lang w:val="en-GB" w:eastAsia="en-GB"/>
              </w:rPr>
              <w:t xml:space="preserve"> </w:t>
            </w:r>
            <w:proofErr w:type="spellStart"/>
            <w:r w:rsidRPr="15F87F21">
              <w:rPr>
                <w:rFonts w:ascii="Aptos" w:hAnsi="Aptos"/>
                <w:sz w:val="22"/>
                <w:szCs w:val="22"/>
                <w:lang w:val="en-GB" w:eastAsia="en-GB"/>
              </w:rPr>
              <w:t>mit</w:t>
            </w:r>
            <w:proofErr w:type="spellEnd"/>
            <w:r w:rsidRPr="15F87F21">
              <w:rPr>
                <w:rFonts w:ascii="Aptos" w:hAnsi="Aptos"/>
                <w:sz w:val="22"/>
                <w:szCs w:val="22"/>
                <w:lang w:val="en-GB" w:eastAsia="en-GB"/>
              </w:rPr>
              <w:t xml:space="preserve"> </w:t>
            </w:r>
            <w:proofErr w:type="spellStart"/>
            <w:r w:rsidRPr="15F87F21">
              <w:rPr>
                <w:rFonts w:ascii="Aptos" w:hAnsi="Aptos"/>
                <w:sz w:val="22"/>
                <w:szCs w:val="22"/>
                <w:lang w:val="en-GB" w:eastAsia="en-GB"/>
              </w:rPr>
              <w:t>Behinderung</w:t>
            </w:r>
            <w:proofErr w:type="spellEnd"/>
            <w:r w:rsidRPr="15F87F21">
              <w:rPr>
                <w:rFonts w:ascii="Aptos" w:hAnsi="Aptos"/>
                <w:sz w:val="22"/>
                <w:szCs w:val="22"/>
                <w:lang w:val="en-GB" w:eastAsia="en-GB"/>
              </w:rPr>
              <w:t xml:space="preserve"> (DPB - </w:t>
            </w:r>
            <w:proofErr w:type="spellStart"/>
            <w:r w:rsidRPr="15F87F21">
              <w:rPr>
                <w:rFonts w:ascii="Aptos" w:hAnsi="Aptos"/>
                <w:sz w:val="22"/>
                <w:szCs w:val="22"/>
                <w:lang w:val="en-GB" w:eastAsia="en-GB"/>
              </w:rPr>
              <w:t>Communauté</w:t>
            </w:r>
            <w:proofErr w:type="spellEnd"/>
            <w:r w:rsidRPr="15F87F21">
              <w:rPr>
                <w:rFonts w:ascii="Aptos" w:hAnsi="Aptos"/>
                <w:sz w:val="22"/>
                <w:szCs w:val="22"/>
                <w:lang w:val="en-GB" w:eastAsia="en-GB"/>
              </w:rPr>
              <w:t xml:space="preserve"> Germanophone)</w:t>
            </w:r>
          </w:p>
        </w:tc>
        <w:tc>
          <w:tcPr>
            <w:tcW w:w="1059" w:type="pct"/>
            <w:shd w:val="clear" w:color="auto" w:fill="FFFFCC"/>
          </w:tcPr>
          <w:p w14:paraId="6BF3A199" w14:textId="77777777" w:rsidR="00677055" w:rsidRPr="00A841F7" w:rsidRDefault="00677055" w:rsidP="004D63F1">
            <w:pPr>
              <w:spacing w:line="240" w:lineRule="auto"/>
              <w:rPr>
                <w:rFonts w:ascii="Aptos" w:hAnsi="Aptos"/>
                <w:sz w:val="22"/>
                <w:szCs w:val="22"/>
                <w:lang w:val="en-GB" w:eastAsia="en-GB"/>
              </w:rPr>
            </w:pPr>
          </w:p>
        </w:tc>
        <w:tc>
          <w:tcPr>
            <w:tcW w:w="322" w:type="pct"/>
          </w:tcPr>
          <w:p w14:paraId="7C8B6E61" w14:textId="77777777" w:rsidR="00677055" w:rsidRPr="00A841F7" w:rsidRDefault="00677055" w:rsidP="004D63F1">
            <w:pPr>
              <w:spacing w:line="240" w:lineRule="auto"/>
              <w:rPr>
                <w:rFonts w:ascii="Aptos" w:hAnsi="Aptos"/>
                <w:sz w:val="22"/>
                <w:szCs w:val="22"/>
                <w:lang w:val="en-GB" w:eastAsia="en-GB"/>
              </w:rPr>
            </w:pPr>
          </w:p>
        </w:tc>
        <w:tc>
          <w:tcPr>
            <w:tcW w:w="765" w:type="pct"/>
          </w:tcPr>
          <w:p w14:paraId="0C166C90" w14:textId="77777777" w:rsidR="00677055" w:rsidRPr="00A841F7" w:rsidRDefault="00677055" w:rsidP="004D63F1">
            <w:pPr>
              <w:spacing w:line="240" w:lineRule="auto"/>
              <w:rPr>
                <w:rFonts w:ascii="Aptos" w:hAnsi="Aptos"/>
                <w:sz w:val="22"/>
                <w:szCs w:val="22"/>
                <w:lang w:val="en-GB" w:eastAsia="en-GB"/>
              </w:rPr>
            </w:pPr>
          </w:p>
        </w:tc>
      </w:tr>
      <w:tr w:rsidR="00677055" w:rsidRPr="00065DF3" w14:paraId="509EBA5D" w14:textId="77777777" w:rsidTr="004D63F1">
        <w:tc>
          <w:tcPr>
            <w:tcW w:w="460" w:type="pct"/>
            <w:shd w:val="clear" w:color="auto" w:fill="FFFFCC"/>
          </w:tcPr>
          <w:p w14:paraId="2C96AD06"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33 §4</w:t>
            </w:r>
          </w:p>
        </w:tc>
        <w:tc>
          <w:tcPr>
            <w:tcW w:w="1198" w:type="pct"/>
            <w:shd w:val="clear" w:color="auto" w:fill="FFFFCC"/>
          </w:tcPr>
          <w:p w14:paraId="2B78779A" w14:textId="77777777" w:rsidR="00677055" w:rsidRPr="00F74F55" w:rsidRDefault="00677055" w:rsidP="004D63F1">
            <w:pPr>
              <w:spacing w:line="240" w:lineRule="auto"/>
              <w:rPr>
                <w:rFonts w:ascii="Aptos" w:hAnsi="Aptos"/>
                <w:sz w:val="22"/>
                <w:szCs w:val="22"/>
                <w:lang w:val="en-GB" w:eastAsia="en-GB"/>
              </w:rPr>
            </w:pPr>
            <w:r w:rsidRPr="00F74F55">
              <w:rPr>
                <w:rFonts w:ascii="Aptos" w:hAnsi="Aptos"/>
                <w:sz w:val="22"/>
                <w:szCs w:val="22"/>
                <w:lang w:val="en-GB" w:eastAsia="en-GB"/>
              </w:rPr>
              <w:t>Ensuring reporting mechanisms in institutions and centres and adequate handling of reports.</w:t>
            </w:r>
          </w:p>
        </w:tc>
        <w:tc>
          <w:tcPr>
            <w:tcW w:w="1196" w:type="pct"/>
            <w:shd w:val="clear" w:color="auto" w:fill="FFFFCC"/>
          </w:tcPr>
          <w:p w14:paraId="4791202B" w14:textId="77777777" w:rsidR="00677055" w:rsidRPr="00F74F55" w:rsidRDefault="00677055" w:rsidP="004D63F1">
            <w:pPr>
              <w:spacing w:line="240" w:lineRule="auto"/>
              <w:rPr>
                <w:rFonts w:ascii="Aptos" w:hAnsi="Aptos"/>
                <w:sz w:val="22"/>
                <w:szCs w:val="22"/>
                <w:lang w:eastAsia="en-GB"/>
              </w:rPr>
            </w:pPr>
            <w:r w:rsidRPr="003E69B9">
              <w:rPr>
                <w:rFonts w:ascii="Aptos" w:hAnsi="Aptos"/>
                <w:sz w:val="22"/>
                <w:szCs w:val="22"/>
                <w:lang w:eastAsia="en-GB"/>
              </w:rPr>
              <w:t xml:space="preserve">SPF Intérieur (prisons, centres fermés), </w:t>
            </w:r>
            <w:proofErr w:type="spellStart"/>
            <w:r w:rsidRPr="003E69B9">
              <w:rPr>
                <w:rFonts w:ascii="Aptos" w:hAnsi="Aptos"/>
                <w:sz w:val="22"/>
                <w:szCs w:val="22"/>
                <w:lang w:eastAsia="en-GB"/>
              </w:rPr>
              <w:t>Fedasil</w:t>
            </w:r>
            <w:proofErr w:type="spellEnd"/>
            <w:r w:rsidRPr="003E69B9">
              <w:rPr>
                <w:rFonts w:ascii="Aptos" w:hAnsi="Aptos"/>
                <w:sz w:val="22"/>
                <w:szCs w:val="22"/>
                <w:lang w:eastAsia="en-GB"/>
              </w:rPr>
              <w:t xml:space="preserve"> (centres d'accueil), Communautés et Régions (institutions pour personnes handicapées, etc.)</w:t>
            </w:r>
          </w:p>
        </w:tc>
        <w:tc>
          <w:tcPr>
            <w:tcW w:w="1059" w:type="pct"/>
            <w:shd w:val="clear" w:color="auto" w:fill="FFFFCC"/>
          </w:tcPr>
          <w:p w14:paraId="258BE791" w14:textId="77777777" w:rsidR="00677055" w:rsidRPr="00F74F55" w:rsidRDefault="00677055" w:rsidP="004D63F1">
            <w:pPr>
              <w:spacing w:line="240" w:lineRule="auto"/>
              <w:rPr>
                <w:rFonts w:ascii="Aptos" w:hAnsi="Aptos"/>
                <w:sz w:val="22"/>
                <w:szCs w:val="22"/>
                <w:lang w:eastAsia="en-GB"/>
              </w:rPr>
            </w:pPr>
          </w:p>
        </w:tc>
        <w:tc>
          <w:tcPr>
            <w:tcW w:w="322" w:type="pct"/>
          </w:tcPr>
          <w:p w14:paraId="033F6645" w14:textId="77777777" w:rsidR="00677055" w:rsidRPr="00CD7BFA" w:rsidRDefault="00677055" w:rsidP="004D63F1">
            <w:pPr>
              <w:spacing w:line="240" w:lineRule="auto"/>
              <w:rPr>
                <w:rFonts w:ascii="Aptos" w:hAnsi="Aptos"/>
                <w:sz w:val="22"/>
                <w:szCs w:val="22"/>
                <w:lang w:eastAsia="en-GB"/>
              </w:rPr>
            </w:pPr>
          </w:p>
        </w:tc>
        <w:tc>
          <w:tcPr>
            <w:tcW w:w="765" w:type="pct"/>
          </w:tcPr>
          <w:p w14:paraId="32430835" w14:textId="77777777" w:rsidR="00677055" w:rsidRPr="00CD7BFA" w:rsidRDefault="00677055" w:rsidP="004D63F1">
            <w:pPr>
              <w:spacing w:line="240" w:lineRule="auto"/>
              <w:rPr>
                <w:rFonts w:ascii="Aptos" w:hAnsi="Aptos"/>
                <w:sz w:val="22"/>
                <w:szCs w:val="22"/>
                <w:lang w:eastAsia="en-GB"/>
              </w:rPr>
            </w:pPr>
          </w:p>
        </w:tc>
      </w:tr>
      <w:tr w:rsidR="00677055" w:rsidRPr="00065DF3" w14:paraId="65AFF292" w14:textId="77777777" w:rsidTr="004D63F1">
        <w:tc>
          <w:tcPr>
            <w:tcW w:w="460" w:type="pct"/>
            <w:shd w:val="clear" w:color="auto" w:fill="FFFFCC"/>
          </w:tcPr>
          <w:p w14:paraId="74605BD9"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36 §3</w:t>
            </w:r>
          </w:p>
        </w:tc>
        <w:tc>
          <w:tcPr>
            <w:tcW w:w="1198" w:type="pct"/>
            <w:shd w:val="clear" w:color="auto" w:fill="FFFFCC"/>
          </w:tcPr>
          <w:p w14:paraId="2FB07A69" w14:textId="77777777" w:rsidR="00677055" w:rsidRPr="00F74F55" w:rsidRDefault="00677055" w:rsidP="004D63F1">
            <w:pPr>
              <w:spacing w:line="240" w:lineRule="auto"/>
              <w:rPr>
                <w:rFonts w:ascii="Aptos" w:hAnsi="Aptos"/>
                <w:sz w:val="22"/>
                <w:szCs w:val="22"/>
                <w:lang w:val="en-GB" w:eastAsia="en-GB"/>
              </w:rPr>
            </w:pPr>
            <w:r w:rsidRPr="00F74F55">
              <w:rPr>
                <w:rFonts w:ascii="Aptos" w:hAnsi="Aptos"/>
                <w:sz w:val="22"/>
                <w:szCs w:val="22"/>
                <w:lang w:val="en-GB" w:eastAsia="en-GB"/>
              </w:rPr>
              <w:t>Ensuring training for judges and prosecutors.</w:t>
            </w:r>
          </w:p>
        </w:tc>
        <w:tc>
          <w:tcPr>
            <w:tcW w:w="1196" w:type="pct"/>
            <w:shd w:val="clear" w:color="auto" w:fill="FFFFCC"/>
          </w:tcPr>
          <w:p w14:paraId="2054DB3F" w14:textId="77777777" w:rsidR="00677055" w:rsidRPr="00F74F55" w:rsidRDefault="00677055" w:rsidP="004D63F1">
            <w:pPr>
              <w:spacing w:line="240" w:lineRule="auto"/>
              <w:rPr>
                <w:rFonts w:ascii="Aptos" w:hAnsi="Aptos"/>
                <w:sz w:val="22"/>
                <w:szCs w:val="22"/>
                <w:lang w:eastAsia="en-GB"/>
              </w:rPr>
            </w:pPr>
            <w:r w:rsidRPr="003E69B9">
              <w:rPr>
                <w:rFonts w:ascii="Aptos" w:hAnsi="Aptos"/>
                <w:sz w:val="22"/>
                <w:szCs w:val="22"/>
                <w:lang w:eastAsia="en-GB"/>
              </w:rPr>
              <w:t>SPF Justice (formation de la magistrature)</w:t>
            </w:r>
          </w:p>
        </w:tc>
        <w:tc>
          <w:tcPr>
            <w:tcW w:w="1059" w:type="pct"/>
            <w:shd w:val="clear" w:color="auto" w:fill="FFFFCC"/>
          </w:tcPr>
          <w:p w14:paraId="726BD634" w14:textId="77777777" w:rsidR="00677055" w:rsidRPr="00F74F55" w:rsidRDefault="00677055" w:rsidP="004D63F1">
            <w:pPr>
              <w:spacing w:line="240" w:lineRule="auto"/>
              <w:rPr>
                <w:rFonts w:ascii="Aptos" w:hAnsi="Aptos"/>
                <w:sz w:val="22"/>
                <w:szCs w:val="22"/>
                <w:lang w:eastAsia="en-GB"/>
              </w:rPr>
            </w:pPr>
          </w:p>
        </w:tc>
        <w:tc>
          <w:tcPr>
            <w:tcW w:w="322" w:type="pct"/>
          </w:tcPr>
          <w:p w14:paraId="2E056C52" w14:textId="77777777" w:rsidR="00677055" w:rsidRPr="005B1D31" w:rsidRDefault="00677055" w:rsidP="004D63F1">
            <w:pPr>
              <w:spacing w:line="240" w:lineRule="auto"/>
              <w:rPr>
                <w:rFonts w:ascii="Aptos" w:hAnsi="Aptos"/>
                <w:sz w:val="22"/>
                <w:szCs w:val="22"/>
                <w:lang w:eastAsia="en-GB"/>
              </w:rPr>
            </w:pPr>
          </w:p>
        </w:tc>
        <w:tc>
          <w:tcPr>
            <w:tcW w:w="765" w:type="pct"/>
          </w:tcPr>
          <w:p w14:paraId="21196121" w14:textId="77777777" w:rsidR="00677055" w:rsidRPr="005B1D31" w:rsidRDefault="00677055" w:rsidP="004D63F1">
            <w:pPr>
              <w:spacing w:line="240" w:lineRule="auto"/>
              <w:rPr>
                <w:rFonts w:ascii="Aptos" w:hAnsi="Aptos"/>
                <w:sz w:val="22"/>
                <w:szCs w:val="22"/>
                <w:lang w:eastAsia="en-GB"/>
              </w:rPr>
            </w:pPr>
          </w:p>
        </w:tc>
      </w:tr>
    </w:tbl>
    <w:p w14:paraId="7DE29DD8" w14:textId="77777777" w:rsidR="00D31B59" w:rsidRDefault="00D31B59">
      <w:pPr>
        <w:rPr>
          <w:lang w:val="fr-BE"/>
        </w:rPr>
      </w:pPr>
      <w:r>
        <w:rPr>
          <w:lang w:val="fr-BE"/>
        </w:rPr>
        <w:br w:type="page"/>
      </w:r>
    </w:p>
    <w:p w14:paraId="282AC5FC" w14:textId="153717BB" w:rsidR="00D31B59" w:rsidRDefault="00D31B59" w:rsidP="00D31B59">
      <w:pPr>
        <w:rPr>
          <w:b/>
          <w:bCs/>
          <w:lang w:val="fr-BE"/>
        </w:rPr>
      </w:pPr>
      <w:r w:rsidRPr="00D31B59">
        <w:rPr>
          <w:b/>
          <w:bCs/>
          <w:lang w:val="fr-BE"/>
        </w:rPr>
        <w:lastRenderedPageBreak/>
        <w:t>Commentaires de l’UE concernant l’élargissement de la criminalisation des actes commis sur les femmes, notamment les stérilisations et avortements forcés (22 mai 2025)</w:t>
      </w:r>
    </w:p>
    <w:p w14:paraId="01467592" w14:textId="77777777" w:rsidR="00D31B59" w:rsidRPr="00D31B59" w:rsidRDefault="00D31B59" w:rsidP="00D31B59">
      <w:pPr>
        <w:rPr>
          <w:b/>
          <w:bCs/>
          <w:lang w:val="fr-BE"/>
        </w:rPr>
      </w:pPr>
    </w:p>
    <w:p w14:paraId="35D76164" w14:textId="04B4D3B7" w:rsidR="00D31B59" w:rsidRPr="00D31B59" w:rsidRDefault="00D31B59" w:rsidP="00D31B59">
      <w:pPr>
        <w:rPr>
          <w:lang w:val="fr-BE"/>
        </w:rPr>
      </w:pPr>
      <w:r w:rsidRPr="00D31B59">
        <w:rPr>
          <w:lang w:val="fr-BE"/>
        </w:rPr>
        <w:t>En outre, la COM a souligné que le considérant 9 fait également référence à différentes formes de cyberviolence, telles que le harcèlement sexuel en ligne et le cyberharcèlement.</w:t>
      </w:r>
    </w:p>
    <w:p w14:paraId="22C00FCC" w14:textId="77777777" w:rsidR="00D31B59" w:rsidRPr="00D31B59" w:rsidRDefault="00D31B59" w:rsidP="00D31B59">
      <w:pPr>
        <w:rPr>
          <w:lang w:val="fr-BE"/>
        </w:rPr>
      </w:pPr>
      <w:r w:rsidRPr="00D31B59">
        <w:rPr>
          <w:lang w:val="fr-BE"/>
        </w:rPr>
        <w:t>En ce qui concerne la violence domestique, la COM a souligné qu'il s'agit d'une forme de violence qui peut être spécifiquement incriminée par le droit national ou être couverte par des infractions pénales commises au sein de la famille ou de l'unité domestique ou entre d'anciens ou actuels conjoints ou partenaires, qu'ils partagent ou non le même foyer.</w:t>
      </w:r>
    </w:p>
    <w:p w14:paraId="3D2AD01D" w14:textId="77777777" w:rsidR="00D31B59" w:rsidRPr="00D31B59" w:rsidRDefault="00D31B59" w:rsidP="00D31B59">
      <w:pPr>
        <w:rPr>
          <w:lang w:val="fr-BE"/>
        </w:rPr>
      </w:pPr>
      <w:r w:rsidRPr="00D31B59">
        <w:rPr>
          <w:lang w:val="fr-BE"/>
        </w:rPr>
        <w:t>Les crimes mentionnés ci-dessus peuvent être qualifiés de « noyau commun » de ce qui constitue des crimes équivalant à des violences à l'égard des femmes dans l'UE et dans les États membres de l'UE.</w:t>
      </w:r>
    </w:p>
    <w:p w14:paraId="2E7EBB8F" w14:textId="77777777" w:rsidR="00D31B59" w:rsidRPr="00D31B59" w:rsidRDefault="00D31B59" w:rsidP="00D31B59">
      <w:pPr>
        <w:rPr>
          <w:lang w:val="fr-BE"/>
        </w:rPr>
      </w:pPr>
      <w:r w:rsidRPr="00D31B59">
        <w:rPr>
          <w:lang w:val="fr-BE"/>
        </w:rPr>
        <w:t>Le considérant 9 rappelle que les États membres peuvent adopter une conception plus large de ce qui constitue une violence à l'égard des femmes en vertu du droit pénal national et souligne que la présente directive ne couvre pas l'ensemble des comportements criminels qui constituent des violences à l'égard des femmes. La COM a souligné que, dans la pratique, au-delà de ce noyau commun, les États membres devront observer le</w:t>
      </w:r>
    </w:p>
    <w:p w14:paraId="4EEE1A51" w14:textId="77777777" w:rsidR="00D31B59" w:rsidRPr="00D31B59" w:rsidRDefault="00D31B59" w:rsidP="00D31B59">
      <w:pPr>
        <w:rPr>
          <w:lang w:val="fr-BE"/>
        </w:rPr>
      </w:pPr>
      <w:r w:rsidRPr="00D31B59">
        <w:rPr>
          <w:lang w:val="fr-BE"/>
        </w:rPr>
        <w:t>4</w:t>
      </w:r>
    </w:p>
    <w:p w14:paraId="1F746633" w14:textId="77777777" w:rsidR="00D31B59" w:rsidRPr="00D31B59" w:rsidRDefault="00D31B59" w:rsidP="00D31B59">
      <w:pPr>
        <w:rPr>
          <w:lang w:val="fr-BE"/>
        </w:rPr>
      </w:pPr>
      <w:r w:rsidRPr="00D31B59">
        <w:rPr>
          <w:lang w:val="fr-BE"/>
        </w:rPr>
        <w:t xml:space="preserve">phénomène dans leur propre État membre afin d'identifier les crimes dans leur code pénal, lorsque le comportement est dirigé contre une femme ou une fille parce qu'elle est une femme ou une fille (par exemple, l'avortement forcé) ou qui affecte de manière disproportionnée les femmes ou les filles (par exemple, le viol). La COM a déclaré qu'une analyse de ce qui devrait être considéré comme de la violence à l'égard des femmes ou de la violence domestique a probablement été effectuée, au moins dans les États membres qui sont parties à la convention, afin de se conformer à l'exigence de l'article 7 de la convention. À l'instar de l'article 38 de la directive sur la violence à l'égard des femmes, l'article 7 de la CI exige des États parties qu'ils prennent les mesures législatives et autres nécessaires pour adopter et mettre en œuvre, à l'échelle nationale, des politiques efficaces, globales et coordonnées visant à prévenir et à combattre toutes les formes de violence couvertes par le champ d'application de la convention – [L'article 2 de la Convention définit son champ d'application en faisant référence à « </w:t>
      </w:r>
      <w:r w:rsidRPr="00D31B59">
        <w:rPr>
          <w:lang w:val="fr-BE"/>
        </w:rPr>
        <w:lastRenderedPageBreak/>
        <w:t>toutes les formes de violence à l'égard des femmes, y compris la violence domestique, qui touchent les femmes de manière disproportionnée »] – et d'apporter une réponse globale à la violence à l'égard des femmes.</w:t>
      </w:r>
    </w:p>
    <w:p w14:paraId="4F818506" w14:textId="77777777" w:rsidR="00D31B59" w:rsidRPr="00D31B59" w:rsidRDefault="00D31B59" w:rsidP="00D31B59">
      <w:pPr>
        <w:rPr>
          <w:lang w:val="fr-BE"/>
        </w:rPr>
      </w:pPr>
      <w:r w:rsidRPr="00D31B59">
        <w:rPr>
          <w:lang w:val="fr-BE"/>
        </w:rPr>
        <w:t>Il peut rester des cas, a souligné la COM, où le fait qu'un crime donné relève de la définition de la violence à l'égard des femmes n'apparaît qu'à un stade ultérieur, par exemple lors du procès. Dès que l'élément de genre est perçu, la victime devrait bénéficier de toutes les mesures de soutien, de protection, etc. requises par la directive.</w:t>
      </w:r>
    </w:p>
    <w:p w14:paraId="36D9107F" w14:textId="77777777" w:rsidR="00D31B59" w:rsidRPr="00D31B59" w:rsidRDefault="00D31B59" w:rsidP="00D31B59">
      <w:pPr>
        <w:rPr>
          <w:lang w:val="fr-BE"/>
        </w:rPr>
      </w:pPr>
      <w:r w:rsidRPr="00D31B59">
        <w:rPr>
          <w:lang w:val="fr-BE"/>
        </w:rPr>
        <w:t>Si, d'une part, l'interprétation de la directive nécessite un certain travail en amont, elle présente, d'autre part, un avantage important : elle garantit que la directive reste un instrument à l'épreuve du temps. Si, à l'avenir, de nouvelles formes de violence à l'égard des femmes apparaissent – pensez notamment à la dimension cybernétique –, les mesures prévues par la directive s'appliqueront à ces nouvelles formes de violence à l'égard des femmes, sans qu'il soit nécessaire de modifier le champ d'application de la directive.</w:t>
      </w:r>
    </w:p>
    <w:p w14:paraId="405A9F65" w14:textId="77777777" w:rsidR="00D31B59" w:rsidRPr="00D31B59" w:rsidRDefault="00D31B59" w:rsidP="00D31B59">
      <w:pPr>
        <w:rPr>
          <w:lang w:val="fr-BE"/>
        </w:rPr>
      </w:pPr>
      <w:r w:rsidRPr="00D31B59">
        <w:rPr>
          <w:lang w:val="fr-BE"/>
        </w:rPr>
        <w:t>Une question a été soulevée quant à savoir si les crimes de violence à l'égard des femmes définis dans des actes de l'Union autres que la directive sur la violence à l'égard des femmes pouvaient être retrouvés de manière exhaustive dans la déclaration sur la compétence de l'Union européenne dans les domaines couverts par la convention du Conseil de l'Europe sur la prévention et la lutte contre la violence à l'égard des femmes et la violence domestique.</w:t>
      </w:r>
    </w:p>
    <w:p w14:paraId="6FA1B590" w14:textId="77777777" w:rsidR="00D31B59" w:rsidRPr="00D31B59" w:rsidRDefault="00D31B59" w:rsidP="00D31B59">
      <w:pPr>
        <w:rPr>
          <w:lang w:val="fr-BE"/>
        </w:rPr>
      </w:pPr>
      <w:r w:rsidRPr="00D31B59">
        <w:rPr>
          <w:lang w:val="fr-BE"/>
        </w:rPr>
        <w:t>La Commission a précisé qu'il n'y avait aucun lien avec la déclaration de compétence. La compétence de l'Union pour adopter une directive dans le domaine de la coopération judiciaire en matière pénale est définie à l'article 83 du TFUE et se limite aux dix domaines d'infractions énumérés dans cet article, notamment :</w:t>
      </w:r>
    </w:p>
    <w:p w14:paraId="29BF4748" w14:textId="77777777" w:rsidR="00D31B59" w:rsidRPr="00D31B59" w:rsidRDefault="00D31B59" w:rsidP="00D31B59">
      <w:pPr>
        <w:rPr>
          <w:lang w:val="fr-BE"/>
        </w:rPr>
      </w:pPr>
      <w:r w:rsidRPr="00D31B59">
        <w:rPr>
          <w:lang w:val="fr-BE"/>
        </w:rPr>
        <w:t>o</w:t>
      </w:r>
    </w:p>
    <w:p w14:paraId="2A1E5346" w14:textId="77777777" w:rsidR="00D31B59" w:rsidRPr="00D31B59" w:rsidRDefault="00D31B59" w:rsidP="00D31B59">
      <w:pPr>
        <w:rPr>
          <w:lang w:val="fr-BE"/>
        </w:rPr>
      </w:pPr>
      <w:r w:rsidRPr="00D31B59">
        <w:rPr>
          <w:lang w:val="fr-BE"/>
        </w:rPr>
        <w:t>« l'exploitation sexuelle des femmes et des enfants », qui a servi de base juridique à l'adoption de la directive relative aux abus sexuels sur les enfants (directive 2011/93/UE) et à la criminalisation des mutilations génitales féminines et des mariages forcés dans la directive sur la violence à l'égard des femmes,</w:t>
      </w:r>
    </w:p>
    <w:p w14:paraId="686D6E28" w14:textId="77777777" w:rsidR="00D31B59" w:rsidRPr="00D31B59" w:rsidRDefault="00D31B59" w:rsidP="00D31B59">
      <w:pPr>
        <w:rPr>
          <w:lang w:val="fr-BE"/>
        </w:rPr>
      </w:pPr>
      <w:r w:rsidRPr="00D31B59">
        <w:rPr>
          <w:lang w:val="fr-BE"/>
        </w:rPr>
        <w:t>o</w:t>
      </w:r>
    </w:p>
    <w:p w14:paraId="4927EA8B" w14:textId="77777777" w:rsidR="00D31B59" w:rsidRPr="00D31B59" w:rsidRDefault="00D31B59" w:rsidP="00D31B59">
      <w:pPr>
        <w:rPr>
          <w:lang w:val="fr-BE"/>
        </w:rPr>
      </w:pPr>
      <w:r w:rsidRPr="00D31B59">
        <w:rPr>
          <w:lang w:val="fr-BE"/>
        </w:rPr>
        <w:lastRenderedPageBreak/>
        <w:t>« la traite des êtres humains », qui a servi de base juridique à l'adoption de la directive 2011/36/UE relative à la lutte contre la traite des êtres humains (aujourd'hui modifiée par la directive 2024/1712) ; et</w:t>
      </w:r>
    </w:p>
    <w:p w14:paraId="1B5DB38F" w14:textId="77777777" w:rsidR="00D31B59" w:rsidRPr="00D31B59" w:rsidRDefault="00D31B59" w:rsidP="00D31B59">
      <w:pPr>
        <w:rPr>
          <w:lang w:val="fr-BE"/>
        </w:rPr>
      </w:pPr>
      <w:r w:rsidRPr="00D31B59">
        <w:rPr>
          <w:lang w:val="fr-BE"/>
        </w:rPr>
        <w:t>o</w:t>
      </w:r>
    </w:p>
    <w:p w14:paraId="74BE3F5A" w14:textId="77777777" w:rsidR="00D31B59" w:rsidRPr="00D31B59" w:rsidRDefault="00D31B59" w:rsidP="00D31B59">
      <w:pPr>
        <w:rPr>
          <w:lang w:val="fr-BE"/>
        </w:rPr>
      </w:pPr>
      <w:r w:rsidRPr="00D31B59">
        <w:rPr>
          <w:lang w:val="fr-BE"/>
        </w:rPr>
        <w:t>« les infractions informatiques », qui constituent la base juridique utilisée pour la criminalisation des cybercrimes dans la directive sur la violence à l'égard des femmes.</w:t>
      </w:r>
    </w:p>
    <w:p w14:paraId="419147B2" w14:textId="77777777" w:rsidR="00D31B59" w:rsidRPr="00D31B59" w:rsidRDefault="00D31B59" w:rsidP="00D31B59">
      <w:pPr>
        <w:rPr>
          <w:lang w:val="fr-BE"/>
        </w:rPr>
      </w:pPr>
      <w:r w:rsidRPr="00D31B59">
        <w:rPr>
          <w:lang w:val="fr-BE"/>
        </w:rPr>
        <w:t>5</w:t>
      </w:r>
    </w:p>
    <w:p w14:paraId="7D7855FF" w14:textId="77777777" w:rsidR="00D31B59" w:rsidRPr="00D31B59" w:rsidRDefault="00D31B59" w:rsidP="00D31B59">
      <w:pPr>
        <w:rPr>
          <w:lang w:val="fr-BE"/>
        </w:rPr>
      </w:pPr>
      <w:r w:rsidRPr="00D31B59">
        <w:rPr>
          <w:lang w:val="fr-BE"/>
        </w:rPr>
        <w:t>Rien n'empêche les législateurs de l'Union d'adopter à l'avenir de nouvelles directives définissant de nouvelles infractions et sanctions dans les domaines des crimes définis à l'article 83 du TFUE.</w:t>
      </w:r>
    </w:p>
    <w:p w14:paraId="0C880BC7" w14:textId="77777777" w:rsidR="00D31B59" w:rsidRPr="00D31B59" w:rsidRDefault="00D31B59" w:rsidP="00D31B59">
      <w:pPr>
        <w:rPr>
          <w:lang w:val="fr-BE"/>
        </w:rPr>
      </w:pPr>
      <w:r w:rsidRPr="00D31B59">
        <w:rPr>
          <w:lang w:val="fr-BE"/>
        </w:rPr>
        <w:t>Ainsi, par exemple, si l'Union adoptait une nouvelle directive fixant des règles minimales pour la définition du crime de cyberharcèlement, les victimes de ces crimes bénéficieraient des droits et des mesures prévus aux chapitres 3 à 7 de la directive.</w:t>
      </w:r>
    </w:p>
    <w:p w14:paraId="5A3899BF" w14:textId="77777777" w:rsidR="00D31B59" w:rsidRPr="00D31B59" w:rsidRDefault="00D31B59" w:rsidP="00D31B59">
      <w:pPr>
        <w:rPr>
          <w:lang w:val="fr-BE"/>
        </w:rPr>
      </w:pPr>
      <w:r w:rsidRPr="00D31B59">
        <w:rPr>
          <w:lang w:val="fr-BE"/>
        </w:rPr>
        <w:t>[La déclaration de compétences elle-même indique que « la portée et l'exercice des compétences de l'Union sont, par nature, soumis à une évolution constante. Le cas échéant, l'Union complétera ou modifiera la présente déclaration, notamment afin de mettre à jour la liste des actes pertinents adoptés par l'Union figurant à l'annexe de la présente déclaration » (voir point 6).]</w:t>
      </w:r>
    </w:p>
    <w:p w14:paraId="486F2707" w14:textId="77777777" w:rsidR="00D31B59" w:rsidRPr="00D31B59" w:rsidRDefault="00D31B59" w:rsidP="00D31B59">
      <w:pPr>
        <w:rPr>
          <w:lang w:val="fr-BE"/>
        </w:rPr>
      </w:pPr>
      <w:r w:rsidRPr="00D31B59">
        <w:rPr>
          <w:lang w:val="fr-BE"/>
        </w:rPr>
        <w:t>IT a demandé comment le législateur italien devait évaluer le champ d'application de la directive. En novembre dernier, le gouvernement italien a présenté un projet de loi introduisant le féminicide comme un crime. Le représentant s'est demandé de quelle manière la directive devrait être prise en considération par le législateur italien lors de la finalisation de cette introduction du féminicide dans le code pénal italien.</w:t>
      </w:r>
    </w:p>
    <w:p w14:paraId="6B390DEF" w14:textId="77777777" w:rsidR="00D31B59" w:rsidRPr="00D31B59" w:rsidRDefault="00D31B59" w:rsidP="00D31B59">
      <w:pPr>
        <w:rPr>
          <w:lang w:val="fr-BE"/>
        </w:rPr>
      </w:pPr>
      <w:r w:rsidRPr="00D31B59">
        <w:rPr>
          <w:lang w:val="fr-BE"/>
        </w:rPr>
        <w:t>La COM a précisé que la directive elle-même ne criminalise qu'un nombre limité de crimes qui constituent des « violences à l'égard des femmes », tels que définis dans la directive, et que les législations nationales prévoient un éventail beaucoup plus large de crimes entrant dans le champ d'application de cette définition. Cela dit, en raison de la manière dont le champ d'application de la directive est conçu, les mesures de soutien, de protection et d'accès à la justice prévues dans la directive bénéficieront également aux victimes de crimes de violence à l'égard des femmes définis par le droit national.</w:t>
      </w:r>
    </w:p>
    <w:p w14:paraId="06D8743A" w14:textId="77777777" w:rsidR="00D31B59" w:rsidRPr="00D31B59" w:rsidRDefault="00D31B59" w:rsidP="00D31B59">
      <w:pPr>
        <w:rPr>
          <w:lang w:val="fr-BE"/>
        </w:rPr>
      </w:pPr>
      <w:r w:rsidRPr="00D31B59">
        <w:rPr>
          <w:lang w:val="fr-BE"/>
        </w:rPr>
        <w:lastRenderedPageBreak/>
        <w:t>La Hongrie a demandé si, lors de la rédaction et de la négociation de la directive, la Commission avait pris en considération le régime prévu dans la directive relative aux droits des victimes et si la proposition de modification de cette dernière tenait compte du régime prévu dans la directive relative à la violence à l'égard des femmes, afin que les exigences de mise en œuvre soient compatibles.</w:t>
      </w:r>
    </w:p>
    <w:p w14:paraId="38EF85D9" w14:textId="77777777" w:rsidR="00D31B59" w:rsidRPr="00D31B59" w:rsidRDefault="00D31B59" w:rsidP="00D31B59">
      <w:pPr>
        <w:rPr>
          <w:lang w:val="fr-BE"/>
        </w:rPr>
      </w:pPr>
      <w:r w:rsidRPr="00D31B59">
        <w:rPr>
          <w:lang w:val="fr-BE"/>
        </w:rPr>
        <w:t>La COM a confirmé le lien entre cette directive et la directive relative aux droits des victimes. La directive relative aux droits des victimes est le cadre général qui s'applique à tous les types de victimes d'infractions, y compris les victimes de crimes de violence à l'égard des femmes. L'objectif de la directive relative à la violence à l'égard des femmes et à la violence domestique est de créer un régime spécifique de mesures spécialisées qui répondent aux besoins particuliers de ce groupe de victimes. À présent que la révision proposée de la directive relative aux droits des victimes est en cours de négociation par les colégislateurs, il leur appartient de décider s'ils souhaitent étendre certaines des mesures de la directive relative à la violence à l'égard des femmes à d'autres catégories de victimes d'infractions ou à toute victime d'infraction, même si ces infractions ne sont pas motivées par le genre. Il convient toutefois d'éviter autant que possible la duplication des obligations.</w:t>
      </w:r>
    </w:p>
    <w:p w14:paraId="57EEB930" w14:textId="77777777" w:rsidR="00D31B59" w:rsidRPr="00D31B59" w:rsidRDefault="00D31B59" w:rsidP="00D31B59">
      <w:pPr>
        <w:rPr>
          <w:lang w:val="fr-BE"/>
        </w:rPr>
      </w:pPr>
      <w:r w:rsidRPr="00D31B59">
        <w:rPr>
          <w:lang w:val="fr-BE"/>
        </w:rPr>
        <w:t>PL a posé une question sur la relation entre le féminicide et le meurtre d'une femme transgenre, demandant si ce dernier serait qualifié d'homicide et ce qu'il faudrait faire pour assurer la cohérence.</w:t>
      </w:r>
    </w:p>
    <w:p w14:paraId="7C433ABA" w14:textId="77777777" w:rsidR="00D31B59" w:rsidRPr="00D31B59" w:rsidRDefault="00D31B59" w:rsidP="00D31B59">
      <w:pPr>
        <w:rPr>
          <w:lang w:val="fr-BE"/>
        </w:rPr>
      </w:pPr>
      <w:r w:rsidRPr="00D31B59">
        <w:rPr>
          <w:lang w:val="fr-BE"/>
        </w:rPr>
        <w:t>6</w:t>
      </w:r>
    </w:p>
    <w:p w14:paraId="1B6B3B6D" w14:textId="3A30FF09" w:rsidR="007876C9" w:rsidRDefault="00D31B59" w:rsidP="00D31B59">
      <w:pPr>
        <w:rPr>
          <w:lang w:val="fr-BE"/>
        </w:rPr>
      </w:pPr>
      <w:r w:rsidRPr="00D31B59">
        <w:rPr>
          <w:lang w:val="fr-BE"/>
        </w:rPr>
        <w:t>COM a souligné que le crime de féminicide n'est pas défini au niveau de l'UE, mais que si cette personne est assassinée en raison de son genre, cela serait qualifié de féminicide, car il s'agit de violence à l'égard des femmes.</w:t>
      </w:r>
    </w:p>
    <w:p w14:paraId="0463EBA3" w14:textId="2C7EF343" w:rsidR="002A59A5" w:rsidRPr="00487562" w:rsidRDefault="002A59A5" w:rsidP="00D31B59">
      <w:pPr>
        <w:rPr>
          <w:lang w:val="fr-BE"/>
        </w:rPr>
      </w:pPr>
    </w:p>
    <w:sectPr w:rsidR="002A59A5" w:rsidRPr="00487562" w:rsidSect="008623F2">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De Pauw (Instituut voor de gelijkheid - Institut pour l'égalité)" w:date="2025-07-25T14:43:00Z" w:initials="El">
    <w:p w14:paraId="29F9C519" w14:textId="77777777" w:rsidR="00677055" w:rsidRDefault="00677055" w:rsidP="00677055">
      <w:pPr>
        <w:pStyle w:val="Commentaire"/>
      </w:pPr>
      <w:r>
        <w:rPr>
          <w:rStyle w:val="Marquedecommentaire"/>
          <w:rFonts w:eastAsiaTheme="majorEastAsia"/>
        </w:rPr>
        <w:annotationRef/>
      </w:r>
      <w:r w:rsidRPr="3003CF5C">
        <w:t>Ook IGVM toevoegen in kader van 'gender-sensitive'</w:t>
      </w:r>
    </w:p>
  </w:comment>
  <w:comment w:id="1" w:author="Ellen De Pauw (Instituut voor de gelijkheid - Institut pour l'égalité)" w:date="2025-07-25T14:48:00Z" w:initials="El">
    <w:p w14:paraId="6E0B25CC" w14:textId="77777777" w:rsidR="00677055" w:rsidRDefault="00677055" w:rsidP="00677055">
      <w:pPr>
        <w:pStyle w:val="Commentaire"/>
      </w:pPr>
      <w:r>
        <w:rPr>
          <w:rStyle w:val="Marquedecommentaire"/>
          <w:rFonts w:eastAsiaTheme="majorEastAsia"/>
        </w:rPr>
        <w:annotationRef/>
      </w:r>
      <w:r w:rsidRPr="5315EED3">
        <w:t>IGVM toevoegen voor ZSG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F9C519" w15:done="0"/>
  <w15:commentEx w15:paraId="6E0B25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0FFD7" w16cex:dateUtc="2025-07-25T12:43:00Z"/>
  <w16cex:commentExtensible w16cex:durableId="05BD40B9" w16cex:dateUtc="2025-07-25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F9C519" w16cid:durableId="0700FFD7"/>
  <w16cid:commentId w16cid:paraId="6E0B25CC" w16cid:durableId="05BD4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C475" w14:textId="77777777" w:rsidR="002A59A5" w:rsidRDefault="002A59A5" w:rsidP="002A59A5">
      <w:pPr>
        <w:spacing w:after="0" w:line="240" w:lineRule="auto"/>
      </w:pPr>
      <w:r>
        <w:separator/>
      </w:r>
    </w:p>
  </w:endnote>
  <w:endnote w:type="continuationSeparator" w:id="0">
    <w:p w14:paraId="21B05967" w14:textId="77777777" w:rsidR="002A59A5" w:rsidRDefault="002A59A5" w:rsidP="002A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C202" w14:textId="77777777" w:rsidR="002A59A5" w:rsidRDefault="002A59A5" w:rsidP="002A59A5">
      <w:pPr>
        <w:spacing w:after="0" w:line="240" w:lineRule="auto"/>
      </w:pPr>
      <w:r>
        <w:separator/>
      </w:r>
    </w:p>
  </w:footnote>
  <w:footnote w:type="continuationSeparator" w:id="0">
    <w:p w14:paraId="23203D7A" w14:textId="77777777" w:rsidR="002A59A5" w:rsidRDefault="002A59A5" w:rsidP="002A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8F8"/>
    <w:multiLevelType w:val="multilevel"/>
    <w:tmpl w:val="33662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AC15CD"/>
    <w:multiLevelType w:val="hybridMultilevel"/>
    <w:tmpl w:val="15524888"/>
    <w:lvl w:ilvl="0" w:tplc="0310F768">
      <w:start w:val="1"/>
      <w:numFmt w:val="bullet"/>
      <w:lvlText w:val="•"/>
      <w:lvlJc w:val="left"/>
      <w:pPr>
        <w:tabs>
          <w:tab w:val="num" w:pos="720"/>
        </w:tabs>
        <w:ind w:left="720" w:hanging="360"/>
      </w:pPr>
      <w:rPr>
        <w:rFonts w:ascii="Arial" w:hAnsi="Arial" w:hint="default"/>
      </w:rPr>
    </w:lvl>
    <w:lvl w:ilvl="1" w:tplc="FB243928" w:tentative="1">
      <w:start w:val="1"/>
      <w:numFmt w:val="bullet"/>
      <w:lvlText w:val="•"/>
      <w:lvlJc w:val="left"/>
      <w:pPr>
        <w:tabs>
          <w:tab w:val="num" w:pos="1440"/>
        </w:tabs>
        <w:ind w:left="1440" w:hanging="360"/>
      </w:pPr>
      <w:rPr>
        <w:rFonts w:ascii="Arial" w:hAnsi="Arial" w:hint="default"/>
      </w:rPr>
    </w:lvl>
    <w:lvl w:ilvl="2" w:tplc="10003E9A" w:tentative="1">
      <w:start w:val="1"/>
      <w:numFmt w:val="bullet"/>
      <w:lvlText w:val="•"/>
      <w:lvlJc w:val="left"/>
      <w:pPr>
        <w:tabs>
          <w:tab w:val="num" w:pos="2160"/>
        </w:tabs>
        <w:ind w:left="2160" w:hanging="360"/>
      </w:pPr>
      <w:rPr>
        <w:rFonts w:ascii="Arial" w:hAnsi="Arial" w:hint="default"/>
      </w:rPr>
    </w:lvl>
    <w:lvl w:ilvl="3" w:tplc="2E503382" w:tentative="1">
      <w:start w:val="1"/>
      <w:numFmt w:val="bullet"/>
      <w:lvlText w:val="•"/>
      <w:lvlJc w:val="left"/>
      <w:pPr>
        <w:tabs>
          <w:tab w:val="num" w:pos="2880"/>
        </w:tabs>
        <w:ind w:left="2880" w:hanging="360"/>
      </w:pPr>
      <w:rPr>
        <w:rFonts w:ascii="Arial" w:hAnsi="Arial" w:hint="default"/>
      </w:rPr>
    </w:lvl>
    <w:lvl w:ilvl="4" w:tplc="8B4089CC" w:tentative="1">
      <w:start w:val="1"/>
      <w:numFmt w:val="bullet"/>
      <w:lvlText w:val="•"/>
      <w:lvlJc w:val="left"/>
      <w:pPr>
        <w:tabs>
          <w:tab w:val="num" w:pos="3600"/>
        </w:tabs>
        <w:ind w:left="3600" w:hanging="360"/>
      </w:pPr>
      <w:rPr>
        <w:rFonts w:ascii="Arial" w:hAnsi="Arial" w:hint="default"/>
      </w:rPr>
    </w:lvl>
    <w:lvl w:ilvl="5" w:tplc="EE5869F6" w:tentative="1">
      <w:start w:val="1"/>
      <w:numFmt w:val="bullet"/>
      <w:lvlText w:val="•"/>
      <w:lvlJc w:val="left"/>
      <w:pPr>
        <w:tabs>
          <w:tab w:val="num" w:pos="4320"/>
        </w:tabs>
        <w:ind w:left="4320" w:hanging="360"/>
      </w:pPr>
      <w:rPr>
        <w:rFonts w:ascii="Arial" w:hAnsi="Arial" w:hint="default"/>
      </w:rPr>
    </w:lvl>
    <w:lvl w:ilvl="6" w:tplc="681ED46A" w:tentative="1">
      <w:start w:val="1"/>
      <w:numFmt w:val="bullet"/>
      <w:lvlText w:val="•"/>
      <w:lvlJc w:val="left"/>
      <w:pPr>
        <w:tabs>
          <w:tab w:val="num" w:pos="5040"/>
        </w:tabs>
        <w:ind w:left="5040" w:hanging="360"/>
      </w:pPr>
      <w:rPr>
        <w:rFonts w:ascii="Arial" w:hAnsi="Arial" w:hint="default"/>
      </w:rPr>
    </w:lvl>
    <w:lvl w:ilvl="7" w:tplc="A6C42D98" w:tentative="1">
      <w:start w:val="1"/>
      <w:numFmt w:val="bullet"/>
      <w:lvlText w:val="•"/>
      <w:lvlJc w:val="left"/>
      <w:pPr>
        <w:tabs>
          <w:tab w:val="num" w:pos="5760"/>
        </w:tabs>
        <w:ind w:left="5760" w:hanging="360"/>
      </w:pPr>
      <w:rPr>
        <w:rFonts w:ascii="Arial" w:hAnsi="Arial" w:hint="default"/>
      </w:rPr>
    </w:lvl>
    <w:lvl w:ilvl="8" w:tplc="64EE8E4A" w:tentative="1">
      <w:start w:val="1"/>
      <w:numFmt w:val="bullet"/>
      <w:lvlText w:val="•"/>
      <w:lvlJc w:val="left"/>
      <w:pPr>
        <w:tabs>
          <w:tab w:val="num" w:pos="6480"/>
        </w:tabs>
        <w:ind w:left="6480" w:hanging="360"/>
      </w:pPr>
      <w:rPr>
        <w:rFonts w:ascii="Arial" w:hAnsi="Arial" w:hint="default"/>
      </w:rPr>
    </w:lvl>
  </w:abstractNum>
  <w:num w:numId="1" w16cid:durableId="149643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004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De Pauw (Instituut voor de gelijkheid - Institut pour l'égalité)">
    <w15:presenceInfo w15:providerId="AD" w15:userId="S::ellen.depauw_igvm.be#ext#@federaljusticebelgium.onmicrosoft.com::caf1b241-8e4d-4c3d-ac25-c1c227640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C9"/>
    <w:rsid w:val="00065DF3"/>
    <w:rsid w:val="002A59A5"/>
    <w:rsid w:val="002E204B"/>
    <w:rsid w:val="003A0CC1"/>
    <w:rsid w:val="00487562"/>
    <w:rsid w:val="004D61C5"/>
    <w:rsid w:val="00604148"/>
    <w:rsid w:val="00677055"/>
    <w:rsid w:val="007876C9"/>
    <w:rsid w:val="008623F2"/>
    <w:rsid w:val="00BA04EC"/>
    <w:rsid w:val="00CE5753"/>
    <w:rsid w:val="00D31B59"/>
    <w:rsid w:val="00DE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788E"/>
  <w15:chartTrackingRefBased/>
  <w15:docId w15:val="{5677AE71-1A96-4CC5-8AA2-83AFA070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7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7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76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76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76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76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76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76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76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6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76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76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76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76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76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6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6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6C9"/>
    <w:rPr>
      <w:rFonts w:eastAsiaTheme="majorEastAsia" w:cstheme="majorBidi"/>
      <w:color w:val="272727" w:themeColor="text1" w:themeTint="D8"/>
    </w:rPr>
  </w:style>
  <w:style w:type="paragraph" w:styleId="Titre">
    <w:name w:val="Title"/>
    <w:basedOn w:val="Normal"/>
    <w:next w:val="Normal"/>
    <w:link w:val="TitreCar"/>
    <w:uiPriority w:val="10"/>
    <w:qFormat/>
    <w:rsid w:val="0078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76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6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76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6C9"/>
    <w:pPr>
      <w:spacing w:before="160"/>
      <w:jc w:val="center"/>
    </w:pPr>
    <w:rPr>
      <w:i/>
      <w:iCs/>
      <w:color w:val="404040" w:themeColor="text1" w:themeTint="BF"/>
    </w:rPr>
  </w:style>
  <w:style w:type="character" w:customStyle="1" w:styleId="CitationCar">
    <w:name w:val="Citation Car"/>
    <w:basedOn w:val="Policepardfaut"/>
    <w:link w:val="Citation"/>
    <w:uiPriority w:val="29"/>
    <w:rsid w:val="007876C9"/>
    <w:rPr>
      <w:i/>
      <w:iCs/>
      <w:color w:val="404040" w:themeColor="text1" w:themeTint="BF"/>
    </w:rPr>
  </w:style>
  <w:style w:type="paragraph" w:styleId="Paragraphedeliste">
    <w:name w:val="List Paragraph"/>
    <w:basedOn w:val="Normal"/>
    <w:uiPriority w:val="34"/>
    <w:qFormat/>
    <w:rsid w:val="007876C9"/>
    <w:pPr>
      <w:ind w:left="720"/>
      <w:contextualSpacing/>
    </w:pPr>
  </w:style>
  <w:style w:type="character" w:styleId="Accentuationintense">
    <w:name w:val="Intense Emphasis"/>
    <w:basedOn w:val="Policepardfaut"/>
    <w:uiPriority w:val="21"/>
    <w:qFormat/>
    <w:rsid w:val="007876C9"/>
    <w:rPr>
      <w:i/>
      <w:iCs/>
      <w:color w:val="0F4761" w:themeColor="accent1" w:themeShade="BF"/>
    </w:rPr>
  </w:style>
  <w:style w:type="paragraph" w:styleId="Citationintense">
    <w:name w:val="Intense Quote"/>
    <w:basedOn w:val="Normal"/>
    <w:next w:val="Normal"/>
    <w:link w:val="CitationintenseCar"/>
    <w:uiPriority w:val="30"/>
    <w:qFormat/>
    <w:rsid w:val="00787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76C9"/>
    <w:rPr>
      <w:i/>
      <w:iCs/>
      <w:color w:val="0F4761" w:themeColor="accent1" w:themeShade="BF"/>
    </w:rPr>
  </w:style>
  <w:style w:type="character" w:styleId="Rfrenceintense">
    <w:name w:val="Intense Reference"/>
    <w:basedOn w:val="Policepardfaut"/>
    <w:uiPriority w:val="32"/>
    <w:qFormat/>
    <w:rsid w:val="007876C9"/>
    <w:rPr>
      <w:b/>
      <w:bCs/>
      <w:smallCaps/>
      <w:color w:val="0F4761" w:themeColor="accent1" w:themeShade="BF"/>
      <w:spacing w:val="5"/>
    </w:rPr>
  </w:style>
  <w:style w:type="table" w:styleId="Grilledutableau">
    <w:name w:val="Table Grid"/>
    <w:basedOn w:val="TableauNormal"/>
    <w:uiPriority w:val="39"/>
    <w:rsid w:val="008623F2"/>
    <w:pPr>
      <w:spacing w:after="0" w:line="36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623F2"/>
    <w:rPr>
      <w:sz w:val="16"/>
      <w:szCs w:val="16"/>
    </w:rPr>
  </w:style>
  <w:style w:type="paragraph" w:styleId="Commentaire">
    <w:name w:val="annotation text"/>
    <w:basedOn w:val="Normal"/>
    <w:link w:val="CommentaireCar"/>
    <w:uiPriority w:val="99"/>
    <w:unhideWhenUsed/>
    <w:rsid w:val="008623F2"/>
    <w:pPr>
      <w:spacing w:after="0" w:line="240" w:lineRule="auto"/>
    </w:pPr>
    <w:rPr>
      <w:rFonts w:ascii="Arial" w:eastAsia="Times New Roman" w:hAnsi="Arial" w:cs="Times New Roman"/>
      <w:kern w:val="0"/>
      <w:sz w:val="20"/>
      <w:szCs w:val="20"/>
      <w:lang w:val="nl-NL"/>
      <w14:ligatures w14:val="none"/>
    </w:rPr>
  </w:style>
  <w:style w:type="character" w:customStyle="1" w:styleId="CommentaireCar">
    <w:name w:val="Commentaire Car"/>
    <w:basedOn w:val="Policepardfaut"/>
    <w:link w:val="Commentaire"/>
    <w:uiPriority w:val="99"/>
    <w:rsid w:val="008623F2"/>
    <w:rPr>
      <w:rFonts w:ascii="Arial" w:eastAsia="Times New Roman" w:hAnsi="Arial" w:cs="Times New Roman"/>
      <w:kern w:val="0"/>
      <w:sz w:val="20"/>
      <w:szCs w:val="20"/>
      <w:lang w:val="nl-NL"/>
      <w14:ligatures w14:val="none"/>
    </w:rPr>
  </w:style>
  <w:style w:type="paragraph" w:styleId="En-tte">
    <w:name w:val="header"/>
    <w:basedOn w:val="Normal"/>
    <w:link w:val="En-tteCar"/>
    <w:uiPriority w:val="99"/>
    <w:unhideWhenUsed/>
    <w:rsid w:val="002A59A5"/>
    <w:pPr>
      <w:tabs>
        <w:tab w:val="center" w:pos="4680"/>
        <w:tab w:val="right" w:pos="9360"/>
      </w:tabs>
      <w:spacing w:after="0" w:line="240" w:lineRule="auto"/>
    </w:pPr>
  </w:style>
  <w:style w:type="character" w:customStyle="1" w:styleId="En-tteCar">
    <w:name w:val="En-tête Car"/>
    <w:basedOn w:val="Policepardfaut"/>
    <w:link w:val="En-tte"/>
    <w:uiPriority w:val="99"/>
    <w:rsid w:val="002A59A5"/>
  </w:style>
  <w:style w:type="paragraph" w:styleId="Pieddepage">
    <w:name w:val="footer"/>
    <w:basedOn w:val="Normal"/>
    <w:link w:val="PieddepageCar"/>
    <w:uiPriority w:val="99"/>
    <w:unhideWhenUsed/>
    <w:rsid w:val="002A59A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A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5</cp:revision>
  <dcterms:created xsi:type="dcterms:W3CDTF">2025-10-16T14:13:00Z</dcterms:created>
  <dcterms:modified xsi:type="dcterms:W3CDTF">2025-10-20T06:42:00Z</dcterms:modified>
</cp:coreProperties>
</file>