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192D" w14:textId="77777777" w:rsidR="00402521" w:rsidRDefault="00402521">
      <w:pPr>
        <w:rPr>
          <w:lang w:val="fr-BE"/>
        </w:rPr>
      </w:pPr>
    </w:p>
    <w:p w14:paraId="59CC60D0" w14:textId="6D156ED3" w:rsidR="00184960" w:rsidRDefault="00184960">
      <w:pPr>
        <w:rPr>
          <w:b/>
          <w:bCs/>
          <w:lang w:val="nl-BE"/>
        </w:rPr>
      </w:pPr>
      <w:r w:rsidRPr="001271DD">
        <w:rPr>
          <w:b/>
          <w:bCs/>
          <w:lang w:val="nl-BE"/>
        </w:rPr>
        <w:t>Omzetting van de Europese richtlijn inzake de bestrijding van geweld tegen vrouwen en huiselijk geweld</w:t>
      </w:r>
      <w:r w:rsidR="00B27C44" w:rsidRPr="001271DD">
        <w:rPr>
          <w:b/>
          <w:bCs/>
          <w:lang w:val="nl-BE"/>
        </w:rPr>
        <w:t>: ANALYSE</w:t>
      </w:r>
    </w:p>
    <w:p w14:paraId="5D6D2A78" w14:textId="41430C7A" w:rsidR="00491DA0" w:rsidRPr="00491DA0" w:rsidRDefault="00491DA0">
      <w:pPr>
        <w:rPr>
          <w:b/>
          <w:bCs/>
          <w:color w:val="FF0000"/>
          <w:u w:val="single"/>
          <w:lang w:val="nl-BE"/>
        </w:rPr>
      </w:pPr>
      <w:proofErr w:type="spellStart"/>
      <w:r w:rsidRPr="00491DA0">
        <w:rPr>
          <w:b/>
          <w:bCs/>
          <w:color w:val="FF0000"/>
          <w:u w:val="single"/>
          <w:lang w:val="nl-BE"/>
        </w:rPr>
        <w:t>Deepl</w:t>
      </w:r>
      <w:proofErr w:type="spellEnd"/>
      <w:r w:rsidRPr="00491DA0">
        <w:rPr>
          <w:b/>
          <w:bCs/>
          <w:color w:val="FF0000"/>
          <w:u w:val="single"/>
          <w:lang w:val="nl-BE"/>
        </w:rPr>
        <w:t>-vertaling zonder nalezing</w:t>
      </w:r>
    </w:p>
    <w:p w14:paraId="3A4331D7" w14:textId="6FC26D47" w:rsidR="00184960" w:rsidRDefault="00184960">
      <w:pPr>
        <w:rPr>
          <w:b/>
          <w:bCs/>
          <w:lang w:val="fr-BE"/>
        </w:rPr>
      </w:pPr>
      <w:proofErr w:type="spellStart"/>
      <w:r>
        <w:rPr>
          <w:b/>
          <w:bCs/>
          <w:lang w:val="fr-BE"/>
        </w:rPr>
        <w:t>Achtergrond</w:t>
      </w:r>
      <w:proofErr w:type="spellEnd"/>
      <w:r>
        <w:rPr>
          <w:b/>
          <w:bCs/>
          <w:lang w:val="fr-BE"/>
        </w:rPr>
        <w:t xml:space="preserve"> </w:t>
      </w:r>
    </w:p>
    <w:p w14:paraId="0E25221D" w14:textId="3DD4ECB3" w:rsidR="00184960" w:rsidRDefault="00184960" w:rsidP="00184960">
      <w:pPr>
        <w:pStyle w:val="Paragraphedeliste"/>
        <w:numPr>
          <w:ilvl w:val="0"/>
          <w:numId w:val="1"/>
        </w:numPr>
        <w:rPr>
          <w:lang w:val="fr-BE"/>
        </w:rPr>
      </w:pPr>
      <w:r>
        <w:rPr>
          <w:lang w:val="fr-BE"/>
        </w:rPr>
        <w:t>Projectleider: FOD Justitie</w:t>
      </w:r>
    </w:p>
    <w:p w14:paraId="2E6EFF7C" w14:textId="1B1CB6C8" w:rsidR="00184960" w:rsidRDefault="00184960" w:rsidP="00184960">
      <w:pPr>
        <w:pStyle w:val="Paragraphedeliste"/>
        <w:numPr>
          <w:ilvl w:val="0"/>
          <w:numId w:val="1"/>
        </w:numPr>
        <w:rPr>
          <w:lang w:val="fr-BE"/>
        </w:rPr>
      </w:pPr>
      <w:r>
        <w:rPr>
          <w:lang w:val="fr-BE"/>
        </w:rPr>
        <w:t>Tijdschema: omzetting tegen 14/6/2027</w:t>
      </w:r>
    </w:p>
    <w:p w14:paraId="184AA643" w14:textId="25A7CAB2" w:rsidR="00184960" w:rsidRDefault="00184960" w:rsidP="00184960">
      <w:pPr>
        <w:rPr>
          <w:b/>
          <w:bCs/>
          <w:lang w:val="fr-BE"/>
        </w:rPr>
      </w:pPr>
      <w:r w:rsidRPr="00184960">
        <w:rPr>
          <w:b/>
          <w:bCs/>
          <w:lang w:val="fr-BE"/>
        </w:rPr>
        <w:t>Onderwerp van de richtlijn</w:t>
      </w:r>
    </w:p>
    <w:p w14:paraId="5A0A3539" w14:textId="77777777" w:rsidR="00184960" w:rsidRPr="001271DD" w:rsidRDefault="00184960" w:rsidP="00184960">
      <w:pPr>
        <w:numPr>
          <w:ilvl w:val="0"/>
          <w:numId w:val="2"/>
        </w:numPr>
        <w:spacing w:after="0"/>
        <w:rPr>
          <w:lang w:val="nl-BE"/>
        </w:rPr>
      </w:pPr>
      <w:r w:rsidRPr="001271DD">
        <w:rPr>
          <w:lang w:val="nl-BE"/>
        </w:rPr>
        <w:t xml:space="preserve">Definitie van een </w:t>
      </w:r>
      <w:r w:rsidRPr="001271DD">
        <w:rPr>
          <w:b/>
          <w:bCs/>
          <w:lang w:val="nl-BE"/>
        </w:rPr>
        <w:t xml:space="preserve">breed toepassingsgebied </w:t>
      </w:r>
      <w:r w:rsidRPr="001271DD">
        <w:rPr>
          <w:lang w:val="nl-BE"/>
        </w:rPr>
        <w:t xml:space="preserve">(hoofdstuk 1) </w:t>
      </w:r>
    </w:p>
    <w:p w14:paraId="2C3F81F5" w14:textId="7F14BFAC" w:rsidR="00184960" w:rsidRPr="001271DD" w:rsidRDefault="00184960" w:rsidP="00184960">
      <w:pPr>
        <w:numPr>
          <w:ilvl w:val="0"/>
          <w:numId w:val="2"/>
        </w:numPr>
        <w:spacing w:after="0"/>
        <w:rPr>
          <w:lang w:val="nl-BE"/>
        </w:rPr>
      </w:pPr>
      <w:r w:rsidRPr="001271DD">
        <w:rPr>
          <w:b/>
          <w:bCs/>
          <w:lang w:val="nl-BE"/>
        </w:rPr>
        <w:t xml:space="preserve">Bepaalde vormen van geweld tegen vrouwen op EU-niveau strafbaar stellen </w:t>
      </w:r>
      <w:r w:rsidRPr="001271DD">
        <w:rPr>
          <w:lang w:val="nl-BE"/>
        </w:rPr>
        <w:t>(hoofdstuk 2)</w:t>
      </w:r>
    </w:p>
    <w:p w14:paraId="1B696B5F" w14:textId="77777777" w:rsidR="00184960" w:rsidRPr="001271DD" w:rsidRDefault="00184960" w:rsidP="00184960">
      <w:pPr>
        <w:numPr>
          <w:ilvl w:val="0"/>
          <w:numId w:val="2"/>
        </w:numPr>
        <w:spacing w:after="0"/>
        <w:rPr>
          <w:lang w:val="nl-BE"/>
        </w:rPr>
      </w:pPr>
      <w:r w:rsidRPr="001271DD">
        <w:rPr>
          <w:lang w:val="nl-BE"/>
        </w:rPr>
        <w:t xml:space="preserve">Een reeks solide regels vaststellen om </w:t>
      </w:r>
      <w:r w:rsidRPr="001271DD">
        <w:rPr>
          <w:b/>
          <w:bCs/>
          <w:lang w:val="nl-BE"/>
        </w:rPr>
        <w:t xml:space="preserve">de bescherming van slachtoffers </w:t>
      </w:r>
      <w:r w:rsidRPr="001271DD">
        <w:rPr>
          <w:lang w:val="nl-BE"/>
        </w:rPr>
        <w:t xml:space="preserve">te versterken </w:t>
      </w:r>
      <w:r w:rsidRPr="001271DD">
        <w:rPr>
          <w:b/>
          <w:bCs/>
          <w:lang w:val="nl-BE"/>
        </w:rPr>
        <w:t xml:space="preserve">en de toegang tot de rechter te vergemakkelijken </w:t>
      </w:r>
      <w:r w:rsidRPr="001271DD">
        <w:rPr>
          <w:lang w:val="nl-BE"/>
        </w:rPr>
        <w:t>(hoofdstuk 3)</w:t>
      </w:r>
    </w:p>
    <w:p w14:paraId="3648ED69" w14:textId="77777777" w:rsidR="00184960" w:rsidRPr="001271DD" w:rsidRDefault="00184960" w:rsidP="00184960">
      <w:pPr>
        <w:numPr>
          <w:ilvl w:val="0"/>
          <w:numId w:val="2"/>
        </w:numPr>
        <w:spacing w:after="0"/>
        <w:rPr>
          <w:lang w:val="nl-BE"/>
        </w:rPr>
      </w:pPr>
      <w:r w:rsidRPr="001271DD">
        <w:rPr>
          <w:lang w:val="nl-BE"/>
        </w:rPr>
        <w:t xml:space="preserve">Een uitgebreide reeks maatregelen </w:t>
      </w:r>
      <w:r w:rsidRPr="001271DD">
        <w:rPr>
          <w:b/>
          <w:bCs/>
          <w:lang w:val="nl-BE"/>
        </w:rPr>
        <w:t xml:space="preserve">ter ondersteuning van slachtoffers </w:t>
      </w:r>
      <w:r w:rsidRPr="001271DD">
        <w:rPr>
          <w:lang w:val="nl-BE"/>
        </w:rPr>
        <w:t>vaststellen (hoofdstuk 4)</w:t>
      </w:r>
    </w:p>
    <w:p w14:paraId="26C89D14" w14:textId="77777777" w:rsidR="00184960" w:rsidRPr="001271DD" w:rsidRDefault="00184960" w:rsidP="00184960">
      <w:pPr>
        <w:numPr>
          <w:ilvl w:val="0"/>
          <w:numId w:val="2"/>
        </w:numPr>
        <w:spacing w:after="0"/>
        <w:rPr>
          <w:lang w:val="nl-BE"/>
        </w:rPr>
      </w:pPr>
      <w:r w:rsidRPr="001271DD">
        <w:rPr>
          <w:lang w:val="nl-BE"/>
        </w:rPr>
        <w:t xml:space="preserve">Eisen </w:t>
      </w:r>
      <w:r w:rsidRPr="001271DD">
        <w:rPr>
          <w:b/>
          <w:bCs/>
          <w:lang w:val="nl-BE"/>
        </w:rPr>
        <w:t xml:space="preserve">dat er </w:t>
      </w:r>
      <w:r w:rsidRPr="001271DD">
        <w:rPr>
          <w:lang w:val="nl-BE"/>
        </w:rPr>
        <w:t>doeltreffende</w:t>
      </w:r>
      <w:r w:rsidRPr="001271DD">
        <w:rPr>
          <w:b/>
          <w:bCs/>
          <w:lang w:val="nl-BE"/>
        </w:rPr>
        <w:t xml:space="preserve"> preventiemaatregelen worden genomen </w:t>
      </w:r>
      <w:r w:rsidRPr="001271DD">
        <w:rPr>
          <w:lang w:val="nl-BE"/>
        </w:rPr>
        <w:t>(hoofdstuk 5)</w:t>
      </w:r>
    </w:p>
    <w:p w14:paraId="793ECA20" w14:textId="77777777" w:rsidR="00184960" w:rsidRPr="001271DD" w:rsidRDefault="00184960" w:rsidP="00184960">
      <w:pPr>
        <w:numPr>
          <w:ilvl w:val="0"/>
          <w:numId w:val="2"/>
        </w:numPr>
        <w:spacing w:after="0"/>
        <w:rPr>
          <w:lang w:val="nl-BE"/>
        </w:rPr>
      </w:pPr>
      <w:r w:rsidRPr="001271DD">
        <w:rPr>
          <w:lang w:val="nl-BE"/>
        </w:rPr>
        <w:t>Zorgen voor doeltreffende</w:t>
      </w:r>
      <w:r w:rsidRPr="001271DD">
        <w:rPr>
          <w:b/>
          <w:bCs/>
          <w:lang w:val="nl-BE"/>
        </w:rPr>
        <w:t xml:space="preserve"> coördinatie en samenwerking </w:t>
      </w:r>
      <w:r w:rsidRPr="001271DD">
        <w:rPr>
          <w:lang w:val="nl-BE"/>
        </w:rPr>
        <w:t>tussen de betrokken actoren (hoofdstuk 6)</w:t>
      </w:r>
    </w:p>
    <w:p w14:paraId="78DD20DD" w14:textId="77777777" w:rsidR="00184960" w:rsidRPr="00184960" w:rsidRDefault="00184960" w:rsidP="00184960">
      <w:pPr>
        <w:numPr>
          <w:ilvl w:val="0"/>
          <w:numId w:val="2"/>
        </w:numPr>
        <w:spacing w:after="0"/>
        <w:rPr>
          <w:lang w:val="fr-BE"/>
        </w:rPr>
      </w:pPr>
      <w:proofErr w:type="spellStart"/>
      <w:r w:rsidRPr="00184960">
        <w:rPr>
          <w:lang w:val="fr-BE"/>
        </w:rPr>
        <w:t>Bevat</w:t>
      </w:r>
      <w:proofErr w:type="spellEnd"/>
      <w:r w:rsidRPr="00184960">
        <w:rPr>
          <w:lang w:val="fr-BE"/>
        </w:rPr>
        <w:t xml:space="preserve"> </w:t>
      </w:r>
      <w:proofErr w:type="spellStart"/>
      <w:r w:rsidRPr="00184960">
        <w:rPr>
          <w:lang w:val="fr-BE"/>
        </w:rPr>
        <w:t>een</w:t>
      </w:r>
      <w:proofErr w:type="spellEnd"/>
      <w:r w:rsidRPr="00184960">
        <w:rPr>
          <w:lang w:val="fr-BE"/>
        </w:rPr>
        <w:t xml:space="preserve"> </w:t>
      </w:r>
      <w:proofErr w:type="spellStart"/>
      <w:r w:rsidRPr="00184960">
        <w:rPr>
          <w:lang w:val="fr-BE"/>
        </w:rPr>
        <w:t>strenge</w:t>
      </w:r>
      <w:proofErr w:type="spellEnd"/>
      <w:r w:rsidRPr="00184960">
        <w:rPr>
          <w:b/>
          <w:bCs/>
          <w:lang w:val="fr-BE"/>
        </w:rPr>
        <w:t xml:space="preserve"> </w:t>
      </w:r>
      <w:proofErr w:type="spellStart"/>
      <w:r w:rsidRPr="00184960">
        <w:rPr>
          <w:b/>
          <w:bCs/>
          <w:lang w:val="fr-BE"/>
        </w:rPr>
        <w:t>herzieningsclausule</w:t>
      </w:r>
      <w:proofErr w:type="spellEnd"/>
    </w:p>
    <w:p w14:paraId="6944CB18" w14:textId="77777777" w:rsidR="00184960" w:rsidRDefault="00184960" w:rsidP="00184960">
      <w:pPr>
        <w:spacing w:after="0"/>
        <w:rPr>
          <w:lang w:val="fr-BE"/>
        </w:rPr>
      </w:pPr>
    </w:p>
    <w:p w14:paraId="7401F51F" w14:textId="74B8C0CF" w:rsidR="00184960" w:rsidRPr="001271DD" w:rsidRDefault="00184960" w:rsidP="00184960">
      <w:pPr>
        <w:spacing w:after="0"/>
        <w:rPr>
          <w:b/>
          <w:bCs/>
          <w:lang w:val="nl-BE"/>
        </w:rPr>
      </w:pPr>
      <w:r w:rsidRPr="001271DD">
        <w:rPr>
          <w:b/>
          <w:bCs/>
          <w:lang w:val="nl-BE"/>
        </w:rPr>
        <w:t xml:space="preserve">Worden als strafbare feiten aangemerkt: </w:t>
      </w:r>
    </w:p>
    <w:p w14:paraId="590B45BA" w14:textId="77777777" w:rsidR="00184960" w:rsidRPr="001271DD" w:rsidRDefault="00184960" w:rsidP="00184960">
      <w:pPr>
        <w:pStyle w:val="Paragraphedeliste"/>
        <w:numPr>
          <w:ilvl w:val="0"/>
          <w:numId w:val="4"/>
        </w:numPr>
        <w:spacing w:after="0"/>
        <w:rPr>
          <w:lang w:val="nl-BE"/>
        </w:rPr>
      </w:pPr>
      <w:r w:rsidRPr="001271DD">
        <w:rPr>
          <w:lang w:val="nl-BE"/>
        </w:rPr>
        <w:t xml:space="preserve">Vrouwelijke genitale verminking (als op zichzelf staand misdrijf) </w:t>
      </w:r>
    </w:p>
    <w:p w14:paraId="207EC3D1" w14:textId="77777777" w:rsidR="00184960" w:rsidRPr="00184960" w:rsidRDefault="00184960" w:rsidP="00184960">
      <w:pPr>
        <w:pStyle w:val="Paragraphedeliste"/>
        <w:numPr>
          <w:ilvl w:val="0"/>
          <w:numId w:val="4"/>
        </w:numPr>
        <w:spacing w:after="0"/>
      </w:pPr>
      <w:proofErr w:type="spellStart"/>
      <w:r w:rsidRPr="00184960">
        <w:t>Gedwongen</w:t>
      </w:r>
      <w:proofErr w:type="spellEnd"/>
      <w:r w:rsidRPr="00184960">
        <w:t xml:space="preserve"> </w:t>
      </w:r>
      <w:proofErr w:type="spellStart"/>
      <w:r w:rsidRPr="00184960">
        <w:t>huwelijk</w:t>
      </w:r>
      <w:proofErr w:type="spellEnd"/>
    </w:p>
    <w:p w14:paraId="3A2AFB33" w14:textId="77777777" w:rsidR="00184960" w:rsidRPr="00184960" w:rsidRDefault="00184960" w:rsidP="00184960">
      <w:pPr>
        <w:pStyle w:val="Paragraphedeliste"/>
        <w:numPr>
          <w:ilvl w:val="0"/>
          <w:numId w:val="4"/>
        </w:numPr>
        <w:spacing w:after="0"/>
      </w:pPr>
      <w:r w:rsidRPr="00184960">
        <w:t>Online geweld:</w:t>
      </w:r>
    </w:p>
    <w:p w14:paraId="1DF397F0" w14:textId="77777777" w:rsidR="00184960" w:rsidRPr="001271DD" w:rsidRDefault="00184960" w:rsidP="00184960">
      <w:pPr>
        <w:pStyle w:val="Paragraphedeliste"/>
        <w:numPr>
          <w:ilvl w:val="0"/>
          <w:numId w:val="5"/>
        </w:numPr>
        <w:tabs>
          <w:tab w:val="num" w:pos="2160"/>
        </w:tabs>
        <w:spacing w:after="0"/>
        <w:ind w:left="1276"/>
        <w:rPr>
          <w:lang w:val="nl-BE"/>
        </w:rPr>
      </w:pPr>
      <w:r w:rsidRPr="001271DD">
        <w:rPr>
          <w:lang w:val="nl-BE"/>
        </w:rPr>
        <w:t xml:space="preserve">Het zonder toestemming delen van intieme beelden </w:t>
      </w:r>
    </w:p>
    <w:p w14:paraId="3D9DC4F3" w14:textId="77777777" w:rsidR="00184960" w:rsidRPr="001271DD" w:rsidRDefault="00184960" w:rsidP="00184960">
      <w:pPr>
        <w:pStyle w:val="Paragraphedeliste"/>
        <w:numPr>
          <w:ilvl w:val="0"/>
          <w:numId w:val="5"/>
        </w:numPr>
        <w:tabs>
          <w:tab w:val="num" w:pos="2160"/>
        </w:tabs>
        <w:spacing w:after="0"/>
        <w:ind w:left="1276"/>
        <w:rPr>
          <w:lang w:val="nl-BE"/>
        </w:rPr>
      </w:pPr>
      <w:r w:rsidRPr="001271DD">
        <w:rPr>
          <w:lang w:val="nl-BE"/>
        </w:rPr>
        <w:t>Cyberpesten (inclusief in de vorm van "</w:t>
      </w:r>
      <w:proofErr w:type="spellStart"/>
      <w:r w:rsidRPr="001271DD">
        <w:rPr>
          <w:lang w:val="nl-BE"/>
        </w:rPr>
        <w:t>cyberflashing</w:t>
      </w:r>
      <w:proofErr w:type="spellEnd"/>
      <w:r w:rsidRPr="001271DD">
        <w:rPr>
          <w:lang w:val="nl-BE"/>
        </w:rPr>
        <w:t>")</w:t>
      </w:r>
    </w:p>
    <w:p w14:paraId="68997471" w14:textId="77777777" w:rsidR="00184960" w:rsidRPr="001271DD" w:rsidRDefault="00184960" w:rsidP="00184960">
      <w:pPr>
        <w:pStyle w:val="Paragraphedeliste"/>
        <w:numPr>
          <w:ilvl w:val="0"/>
          <w:numId w:val="5"/>
        </w:numPr>
        <w:tabs>
          <w:tab w:val="num" w:pos="2160"/>
        </w:tabs>
        <w:spacing w:after="0"/>
        <w:ind w:left="1276"/>
        <w:rPr>
          <w:lang w:val="nl-BE"/>
        </w:rPr>
      </w:pPr>
      <w:r w:rsidRPr="001271DD">
        <w:rPr>
          <w:lang w:val="nl-BE"/>
        </w:rPr>
        <w:lastRenderedPageBreak/>
        <w:t xml:space="preserve">Aanzetten tot haat of geweld op basis van geslacht op internet </w:t>
      </w:r>
    </w:p>
    <w:p w14:paraId="38AC5EDD" w14:textId="77777777" w:rsidR="00184960" w:rsidRPr="001271DD" w:rsidRDefault="00184960" w:rsidP="00184960">
      <w:pPr>
        <w:tabs>
          <w:tab w:val="num" w:pos="2160"/>
        </w:tabs>
        <w:spacing w:after="0"/>
        <w:rPr>
          <w:lang w:val="nl-BE"/>
        </w:rPr>
      </w:pPr>
    </w:p>
    <w:p w14:paraId="2A9A0D14" w14:textId="516B30AA" w:rsidR="00AA31C3" w:rsidRPr="001271DD" w:rsidRDefault="00AA31C3" w:rsidP="00184960">
      <w:pPr>
        <w:tabs>
          <w:tab w:val="num" w:pos="2160"/>
        </w:tabs>
        <w:spacing w:after="0"/>
        <w:rPr>
          <w:b/>
          <w:bCs/>
          <w:lang w:val="nl-BE"/>
        </w:rPr>
      </w:pPr>
      <w:r w:rsidRPr="001271DD">
        <w:rPr>
          <w:b/>
          <w:bCs/>
          <w:lang w:val="nl-BE"/>
        </w:rPr>
        <w:t>Versterking van de bescherming van slachtoffers</w:t>
      </w:r>
    </w:p>
    <w:p w14:paraId="68B4C231" w14:textId="77777777" w:rsidR="00AA31C3" w:rsidRPr="00AA31C3" w:rsidRDefault="00AA31C3" w:rsidP="00AA31C3">
      <w:pPr>
        <w:tabs>
          <w:tab w:val="num" w:pos="2160"/>
        </w:tabs>
        <w:spacing w:after="0"/>
      </w:pPr>
      <w:r w:rsidRPr="001271DD">
        <w:rPr>
          <w:lang w:val="nl-BE"/>
        </w:rPr>
        <w:t xml:space="preserve">Door tegemoet te komen aan de specifieke behoeften van slachtoffers van geweld tegen vrouwen en huiselijk geweld. </w:t>
      </w:r>
      <w:proofErr w:type="spellStart"/>
      <w:r w:rsidRPr="00AA31C3">
        <w:t>Dit</w:t>
      </w:r>
      <w:proofErr w:type="spellEnd"/>
      <w:r w:rsidRPr="00AA31C3">
        <w:t xml:space="preserve"> </w:t>
      </w:r>
      <w:proofErr w:type="spellStart"/>
      <w:r w:rsidRPr="00AA31C3">
        <w:t>omvat</w:t>
      </w:r>
      <w:proofErr w:type="spellEnd"/>
      <w:r w:rsidRPr="00AA31C3">
        <w:t>:</w:t>
      </w:r>
    </w:p>
    <w:p w14:paraId="798AB920" w14:textId="77777777" w:rsidR="00AA31C3" w:rsidRPr="001271DD" w:rsidRDefault="00AA31C3" w:rsidP="00AA31C3">
      <w:pPr>
        <w:numPr>
          <w:ilvl w:val="1"/>
          <w:numId w:val="10"/>
        </w:numPr>
        <w:spacing w:after="0"/>
        <w:rPr>
          <w:lang w:val="nl-BE"/>
        </w:rPr>
      </w:pPr>
      <w:r w:rsidRPr="001271DD">
        <w:rPr>
          <w:lang w:val="nl-BE"/>
        </w:rPr>
        <w:t>het versterken van de individuele beoordeling van de behoeften van slachtoffers op het gebied van bescherming en ondersteuning</w:t>
      </w:r>
    </w:p>
    <w:p w14:paraId="59ECECF8" w14:textId="77777777" w:rsidR="00AA31C3" w:rsidRPr="001271DD" w:rsidRDefault="00AA31C3" w:rsidP="00AA31C3">
      <w:pPr>
        <w:numPr>
          <w:ilvl w:val="1"/>
          <w:numId w:val="10"/>
        </w:numPr>
        <w:spacing w:after="0"/>
        <w:rPr>
          <w:lang w:val="nl-BE"/>
        </w:rPr>
      </w:pPr>
      <w:r w:rsidRPr="001271DD">
        <w:rPr>
          <w:lang w:val="nl-BE"/>
        </w:rPr>
        <w:t>een snelle en gecoördineerde reactie op verzoeken om bescherming en ondersteuning van slachtoffers</w:t>
      </w:r>
    </w:p>
    <w:p w14:paraId="714BD91B" w14:textId="77777777" w:rsidR="00AA31C3" w:rsidRPr="001271DD" w:rsidRDefault="00AA31C3" w:rsidP="00AA31C3">
      <w:pPr>
        <w:numPr>
          <w:ilvl w:val="1"/>
          <w:numId w:val="10"/>
        </w:numPr>
        <w:tabs>
          <w:tab w:val="num" w:pos="2160"/>
        </w:tabs>
        <w:spacing w:after="0"/>
        <w:rPr>
          <w:lang w:val="nl-BE"/>
        </w:rPr>
      </w:pPr>
      <w:r w:rsidRPr="001271DD">
        <w:rPr>
          <w:lang w:val="nl-BE"/>
        </w:rPr>
        <w:t>het uitvaardigen van verwijderings-, beperkings- en noodbeschermingsmaatregelen</w:t>
      </w:r>
    </w:p>
    <w:p w14:paraId="7373009F" w14:textId="77777777" w:rsidR="00AA31C3" w:rsidRPr="001271DD" w:rsidRDefault="00AA31C3" w:rsidP="00AA31C3">
      <w:pPr>
        <w:tabs>
          <w:tab w:val="num" w:pos="2160"/>
        </w:tabs>
        <w:spacing w:after="0"/>
        <w:ind w:left="1440"/>
        <w:rPr>
          <w:lang w:val="nl-BE"/>
        </w:rPr>
      </w:pPr>
    </w:p>
    <w:p w14:paraId="22DE63A9" w14:textId="76D366CE" w:rsidR="00AA31C3" w:rsidRPr="001271DD" w:rsidRDefault="00AA31C3" w:rsidP="00AA31C3">
      <w:pPr>
        <w:spacing w:after="0"/>
        <w:rPr>
          <w:b/>
          <w:bCs/>
          <w:lang w:val="nl-BE"/>
        </w:rPr>
      </w:pPr>
      <w:r w:rsidRPr="001271DD">
        <w:rPr>
          <w:b/>
          <w:bCs/>
          <w:lang w:val="nl-BE"/>
        </w:rPr>
        <w:t>De toegang tot de rechter vergemakkelijken</w:t>
      </w:r>
    </w:p>
    <w:p w14:paraId="213D56D3" w14:textId="77777777" w:rsidR="00AA31C3" w:rsidRPr="001271DD" w:rsidRDefault="00AA31C3" w:rsidP="00AA31C3">
      <w:pPr>
        <w:numPr>
          <w:ilvl w:val="0"/>
          <w:numId w:val="7"/>
        </w:numPr>
        <w:tabs>
          <w:tab w:val="num" w:pos="2160"/>
        </w:tabs>
        <w:spacing w:after="0"/>
        <w:rPr>
          <w:lang w:val="nl-BE"/>
        </w:rPr>
      </w:pPr>
      <w:r w:rsidRPr="001271DD">
        <w:rPr>
          <w:lang w:val="nl-BE"/>
        </w:rPr>
        <w:t xml:space="preserve">Eenvoudigere manieren om geweld te melden (ook online) </w:t>
      </w:r>
    </w:p>
    <w:p w14:paraId="49388E08" w14:textId="77777777" w:rsidR="00AA31C3" w:rsidRPr="001271DD" w:rsidRDefault="00AA31C3" w:rsidP="00AA31C3">
      <w:pPr>
        <w:numPr>
          <w:ilvl w:val="0"/>
          <w:numId w:val="7"/>
        </w:numPr>
        <w:tabs>
          <w:tab w:val="num" w:pos="2160"/>
        </w:tabs>
        <w:spacing w:after="0"/>
        <w:rPr>
          <w:lang w:val="nl-BE"/>
        </w:rPr>
      </w:pPr>
      <w:r w:rsidRPr="001271DD">
        <w:rPr>
          <w:lang w:val="nl-BE"/>
        </w:rPr>
        <w:t>Bewijs met betrekking tot het seksuele gedrag van slachtoffers in het verleden is alleen toegestaan als het relevant en noodzakelijk is</w:t>
      </w:r>
    </w:p>
    <w:p w14:paraId="19AD9749" w14:textId="77777777" w:rsidR="00AA31C3" w:rsidRPr="001271DD" w:rsidRDefault="00AA31C3" w:rsidP="00AA31C3">
      <w:pPr>
        <w:numPr>
          <w:ilvl w:val="0"/>
          <w:numId w:val="7"/>
        </w:numPr>
        <w:tabs>
          <w:tab w:val="num" w:pos="2160"/>
        </w:tabs>
        <w:spacing w:after="0"/>
        <w:rPr>
          <w:lang w:val="nl-BE"/>
        </w:rPr>
      </w:pPr>
      <w:r w:rsidRPr="001271DD">
        <w:rPr>
          <w:lang w:val="nl-BE"/>
        </w:rPr>
        <w:t xml:space="preserve">Duidelijke regels voor het verwijderen van illegale online-inhoud en het bewaren van bewijsmateriaal </w:t>
      </w:r>
    </w:p>
    <w:p w14:paraId="33917ED9" w14:textId="77777777" w:rsidR="00AA31C3" w:rsidRPr="00AA31C3" w:rsidRDefault="00AA31C3" w:rsidP="00AA31C3">
      <w:pPr>
        <w:numPr>
          <w:ilvl w:val="0"/>
          <w:numId w:val="7"/>
        </w:numPr>
        <w:tabs>
          <w:tab w:val="num" w:pos="2160"/>
        </w:tabs>
        <w:spacing w:after="0"/>
        <w:rPr>
          <w:lang w:val="fr-BE"/>
        </w:rPr>
      </w:pPr>
      <w:proofErr w:type="spellStart"/>
      <w:r w:rsidRPr="00AA31C3">
        <w:rPr>
          <w:lang w:val="fr-BE"/>
        </w:rPr>
        <w:t>Schadevergoeding</w:t>
      </w:r>
      <w:proofErr w:type="spellEnd"/>
      <w:r w:rsidRPr="00AA31C3">
        <w:rPr>
          <w:lang w:val="fr-BE"/>
        </w:rPr>
        <w:t xml:space="preserve"> </w:t>
      </w:r>
      <w:proofErr w:type="spellStart"/>
      <w:r w:rsidRPr="00AA31C3">
        <w:rPr>
          <w:lang w:val="fr-BE"/>
        </w:rPr>
        <w:t>door</w:t>
      </w:r>
      <w:proofErr w:type="spellEnd"/>
      <w:r w:rsidRPr="00AA31C3">
        <w:rPr>
          <w:lang w:val="fr-BE"/>
        </w:rPr>
        <w:t xml:space="preserve"> de </w:t>
      </w:r>
      <w:proofErr w:type="spellStart"/>
      <w:r w:rsidRPr="00AA31C3">
        <w:rPr>
          <w:lang w:val="fr-BE"/>
        </w:rPr>
        <w:t>daders</w:t>
      </w:r>
      <w:proofErr w:type="spellEnd"/>
    </w:p>
    <w:p w14:paraId="311C9A1E" w14:textId="77777777" w:rsidR="00184960" w:rsidRDefault="00184960" w:rsidP="00184960">
      <w:pPr>
        <w:tabs>
          <w:tab w:val="num" w:pos="2160"/>
        </w:tabs>
        <w:spacing w:after="0"/>
        <w:rPr>
          <w:lang w:val="fr-BE"/>
        </w:rPr>
      </w:pPr>
    </w:p>
    <w:p w14:paraId="05690504" w14:textId="1067EFBF" w:rsidR="00184960" w:rsidRPr="00184960" w:rsidRDefault="00AA31C3" w:rsidP="00184960">
      <w:pPr>
        <w:tabs>
          <w:tab w:val="num" w:pos="2160"/>
        </w:tabs>
        <w:spacing w:after="0"/>
        <w:rPr>
          <w:b/>
          <w:bCs/>
          <w:lang w:val="fr-BE"/>
        </w:rPr>
      </w:pPr>
      <w:r w:rsidRPr="00AA31C3">
        <w:rPr>
          <w:b/>
          <w:bCs/>
          <w:lang w:val="fr-BE"/>
        </w:rPr>
        <w:t>Ondersteuning van slachtoffers</w:t>
      </w:r>
    </w:p>
    <w:p w14:paraId="120A0146" w14:textId="77777777" w:rsidR="00AA31C3" w:rsidRPr="001271DD" w:rsidRDefault="00AA31C3" w:rsidP="00AA31C3">
      <w:pPr>
        <w:numPr>
          <w:ilvl w:val="0"/>
          <w:numId w:val="8"/>
        </w:numPr>
        <w:spacing w:after="0"/>
        <w:rPr>
          <w:lang w:val="nl-BE"/>
        </w:rPr>
      </w:pPr>
      <w:r w:rsidRPr="001271DD">
        <w:rPr>
          <w:lang w:val="nl-BE"/>
        </w:rPr>
        <w:t>Gemakkelijk toegankelijke gespecialiseerde ondersteuning voor slachtoffers</w:t>
      </w:r>
    </w:p>
    <w:p w14:paraId="24DF830B" w14:textId="77777777" w:rsidR="00AA31C3" w:rsidRPr="001271DD" w:rsidRDefault="00AA31C3" w:rsidP="00AA31C3">
      <w:pPr>
        <w:numPr>
          <w:ilvl w:val="0"/>
          <w:numId w:val="8"/>
        </w:numPr>
        <w:spacing w:after="0"/>
        <w:rPr>
          <w:lang w:val="nl-BE"/>
        </w:rPr>
      </w:pPr>
      <w:r w:rsidRPr="001271DD">
        <w:rPr>
          <w:lang w:val="nl-BE"/>
        </w:rPr>
        <w:t xml:space="preserve">Gespecialiseerde ondersteuning voor slachtoffers van seksueel geweld </w:t>
      </w:r>
    </w:p>
    <w:p w14:paraId="2DB301B5" w14:textId="77777777" w:rsidR="00AA31C3" w:rsidRPr="00AA31C3" w:rsidRDefault="00AA31C3" w:rsidP="00AA31C3">
      <w:pPr>
        <w:numPr>
          <w:ilvl w:val="1"/>
          <w:numId w:val="9"/>
        </w:numPr>
        <w:spacing w:after="0"/>
        <w:ind w:left="1560"/>
      </w:pPr>
      <w:proofErr w:type="spellStart"/>
      <w:r w:rsidRPr="00AA31C3">
        <w:t>seksueel</w:t>
      </w:r>
      <w:proofErr w:type="spellEnd"/>
      <w:r w:rsidRPr="00AA31C3">
        <w:t xml:space="preserve"> </w:t>
      </w:r>
      <w:proofErr w:type="spellStart"/>
      <w:r w:rsidRPr="00AA31C3">
        <w:t>geweld</w:t>
      </w:r>
      <w:proofErr w:type="spellEnd"/>
      <w:r w:rsidRPr="00AA31C3">
        <w:t xml:space="preserve"> </w:t>
      </w:r>
    </w:p>
    <w:p w14:paraId="475545E2" w14:textId="77777777" w:rsidR="00AA31C3" w:rsidRPr="00AA31C3" w:rsidRDefault="00AA31C3" w:rsidP="00AA31C3">
      <w:pPr>
        <w:numPr>
          <w:ilvl w:val="1"/>
          <w:numId w:val="9"/>
        </w:numPr>
        <w:spacing w:after="0"/>
        <w:ind w:left="1560"/>
      </w:pPr>
      <w:r w:rsidRPr="00AA31C3">
        <w:t xml:space="preserve">vrouwelijke genitale verminking en </w:t>
      </w:r>
    </w:p>
    <w:p w14:paraId="2D66D3BB" w14:textId="77777777" w:rsidR="00AA31C3" w:rsidRPr="00AA31C3" w:rsidRDefault="00AA31C3" w:rsidP="00AA31C3">
      <w:pPr>
        <w:numPr>
          <w:ilvl w:val="1"/>
          <w:numId w:val="9"/>
        </w:numPr>
        <w:spacing w:after="0"/>
        <w:ind w:left="1560"/>
      </w:pPr>
      <w:r w:rsidRPr="00AA31C3">
        <w:t>seksuele intimidatie op het werk</w:t>
      </w:r>
    </w:p>
    <w:p w14:paraId="5CD58499" w14:textId="77777777" w:rsidR="00AA31C3" w:rsidRPr="00AA31C3" w:rsidRDefault="00AA31C3" w:rsidP="00AA31C3">
      <w:pPr>
        <w:numPr>
          <w:ilvl w:val="0"/>
          <w:numId w:val="8"/>
        </w:numPr>
        <w:spacing w:after="0"/>
      </w:pPr>
      <w:r w:rsidRPr="00AA31C3">
        <w:t>Hulplijnen</w:t>
      </w:r>
    </w:p>
    <w:p w14:paraId="064CCF5B" w14:textId="77777777" w:rsidR="00AA31C3" w:rsidRPr="00AA31C3" w:rsidRDefault="00AA31C3" w:rsidP="00AA31C3">
      <w:pPr>
        <w:numPr>
          <w:ilvl w:val="0"/>
          <w:numId w:val="8"/>
        </w:numPr>
        <w:spacing w:after="0"/>
      </w:pPr>
      <w:r w:rsidRPr="00AA31C3">
        <w:t>Opvangcentra en andere tijdelijke huisvesting</w:t>
      </w:r>
    </w:p>
    <w:p w14:paraId="4BBB8D81" w14:textId="77777777" w:rsidR="00AA31C3" w:rsidRPr="00AA31C3" w:rsidRDefault="00AA31C3" w:rsidP="00AA31C3">
      <w:pPr>
        <w:numPr>
          <w:ilvl w:val="0"/>
          <w:numId w:val="8"/>
        </w:numPr>
        <w:spacing w:after="0"/>
      </w:pPr>
      <w:r w:rsidRPr="00AA31C3">
        <w:t>Ondersteuning en veiligheid van kinderen</w:t>
      </w:r>
    </w:p>
    <w:p w14:paraId="10BB9404" w14:textId="77777777" w:rsidR="00AA31C3" w:rsidRDefault="00AA31C3" w:rsidP="00184960">
      <w:pPr>
        <w:rPr>
          <w:lang w:val="fr-BE"/>
        </w:rPr>
      </w:pPr>
    </w:p>
    <w:p w14:paraId="743447FE" w14:textId="6B045EB7" w:rsidR="00AA31C3" w:rsidRDefault="00AA31C3" w:rsidP="00184960">
      <w:pPr>
        <w:rPr>
          <w:b/>
          <w:bCs/>
          <w:lang w:val="fr-BE"/>
        </w:rPr>
      </w:pPr>
      <w:r w:rsidRPr="00AA31C3">
        <w:rPr>
          <w:b/>
          <w:bCs/>
          <w:lang w:val="fr-BE"/>
        </w:rPr>
        <w:t>Effectieve preventieve maatregelen</w:t>
      </w:r>
    </w:p>
    <w:p w14:paraId="27C1C2F7" w14:textId="77777777" w:rsidR="00AA31C3" w:rsidRPr="001271DD" w:rsidRDefault="00AA31C3" w:rsidP="00AA31C3">
      <w:pPr>
        <w:numPr>
          <w:ilvl w:val="0"/>
          <w:numId w:val="11"/>
        </w:numPr>
        <w:spacing w:after="0"/>
        <w:rPr>
          <w:lang w:val="nl-BE"/>
        </w:rPr>
      </w:pPr>
      <w:r w:rsidRPr="001271DD">
        <w:rPr>
          <w:lang w:val="nl-BE"/>
        </w:rPr>
        <w:lastRenderedPageBreak/>
        <w:t xml:space="preserve">Preventieve maatregelen tegen geweld tegen vrouwen en huiselijk geweld </w:t>
      </w:r>
    </w:p>
    <w:p w14:paraId="4F613C4C" w14:textId="77777777" w:rsidR="00AA31C3" w:rsidRPr="001271DD" w:rsidRDefault="00AA31C3" w:rsidP="00AA31C3">
      <w:pPr>
        <w:numPr>
          <w:ilvl w:val="0"/>
          <w:numId w:val="11"/>
        </w:numPr>
        <w:spacing w:after="0"/>
        <w:rPr>
          <w:lang w:val="nl-BE"/>
        </w:rPr>
      </w:pPr>
      <w:r w:rsidRPr="001271DD">
        <w:rPr>
          <w:lang w:val="nl-BE"/>
        </w:rPr>
        <w:t>Specifieke maatregelen ter voorkoming van verkrachting en ter bevordering van de centrale rol van toestemming in seksuele relaties</w:t>
      </w:r>
    </w:p>
    <w:p w14:paraId="6052FCC9" w14:textId="77777777" w:rsidR="00AA31C3" w:rsidRPr="001271DD" w:rsidRDefault="00AA31C3" w:rsidP="00AA31C3">
      <w:pPr>
        <w:numPr>
          <w:ilvl w:val="0"/>
          <w:numId w:val="11"/>
        </w:numPr>
        <w:spacing w:after="0"/>
        <w:rPr>
          <w:lang w:val="nl-BE"/>
        </w:rPr>
      </w:pPr>
      <w:r w:rsidRPr="001271DD">
        <w:rPr>
          <w:lang w:val="nl-BE"/>
        </w:rPr>
        <w:t>Opleiding en voorlichting van professionals die in contact kunnen komen met slachtoffers</w:t>
      </w:r>
    </w:p>
    <w:p w14:paraId="6AB8884E" w14:textId="77777777" w:rsidR="00AA31C3" w:rsidRPr="00AA31C3" w:rsidRDefault="00AA31C3" w:rsidP="00AA31C3">
      <w:pPr>
        <w:numPr>
          <w:ilvl w:val="0"/>
          <w:numId w:val="11"/>
        </w:numPr>
        <w:spacing w:after="0"/>
      </w:pPr>
      <w:proofErr w:type="spellStart"/>
      <w:r w:rsidRPr="00AA31C3">
        <w:rPr>
          <w:lang w:val="en-GB"/>
        </w:rPr>
        <w:t>Interventieprogramma's</w:t>
      </w:r>
      <w:proofErr w:type="spellEnd"/>
    </w:p>
    <w:p w14:paraId="586A8F7F" w14:textId="77777777" w:rsidR="00AA31C3" w:rsidRDefault="00AA31C3" w:rsidP="00184960">
      <w:pPr>
        <w:rPr>
          <w:lang w:val="fr-BE"/>
        </w:rPr>
      </w:pPr>
    </w:p>
    <w:p w14:paraId="7FA1DB40" w14:textId="0BC9B365" w:rsidR="00AA31C3" w:rsidRPr="001271DD" w:rsidRDefault="00AA31C3" w:rsidP="00184960">
      <w:pPr>
        <w:rPr>
          <w:b/>
          <w:bCs/>
          <w:lang w:val="nl-BE"/>
        </w:rPr>
      </w:pPr>
      <w:r w:rsidRPr="001271DD">
        <w:rPr>
          <w:b/>
          <w:bCs/>
          <w:lang w:val="nl-BE"/>
        </w:rPr>
        <w:t>Waarom is dit een stap vooruit voor vrouwen en meisjes met een handicap?</w:t>
      </w:r>
    </w:p>
    <w:p w14:paraId="05313861" w14:textId="0718D6BA" w:rsidR="00AA31C3" w:rsidRPr="001271DD" w:rsidRDefault="00AA31C3" w:rsidP="00AA31C3">
      <w:pPr>
        <w:rPr>
          <w:lang w:val="nl-BE"/>
        </w:rPr>
      </w:pPr>
      <w:r w:rsidRPr="001271DD">
        <w:rPr>
          <w:lang w:val="nl-BE"/>
        </w:rPr>
        <w:t xml:space="preserve">Vrouwen met een handicap lopen </w:t>
      </w:r>
      <w:r w:rsidRPr="001271DD">
        <w:rPr>
          <w:b/>
          <w:bCs/>
          <w:lang w:val="nl-BE"/>
        </w:rPr>
        <w:t xml:space="preserve">twee tot vijf </w:t>
      </w:r>
      <w:r w:rsidRPr="001271DD">
        <w:rPr>
          <w:lang w:val="nl-BE"/>
        </w:rPr>
        <w:t>keer meer kans om slachtoffer te worden van geweld dan andere vrouwen (cijfers EDF).</w:t>
      </w:r>
    </w:p>
    <w:p w14:paraId="4EA37ED8" w14:textId="68EA6459" w:rsidR="00AA31C3" w:rsidRPr="001271DD" w:rsidRDefault="00AA31C3" w:rsidP="00AA31C3">
      <w:pPr>
        <w:rPr>
          <w:lang w:val="nl-BE"/>
        </w:rPr>
      </w:pPr>
      <w:r w:rsidRPr="001271DD">
        <w:rPr>
          <w:b/>
          <w:bCs/>
          <w:lang w:val="nl-BE"/>
        </w:rPr>
        <w:t xml:space="preserve">34 % </w:t>
      </w:r>
      <w:r w:rsidRPr="001271DD">
        <w:rPr>
          <w:lang w:val="nl-BE"/>
        </w:rPr>
        <w:t>van de vrouwen met een gezondheidsprobleem of een handicap is in de loop van hun leven slachtoffer geweest van fysiek of seksueel geweld door een partner (cijfers EDF).</w:t>
      </w:r>
    </w:p>
    <w:p w14:paraId="5E2630FF" w14:textId="77777777" w:rsidR="00AA31C3" w:rsidRPr="001271DD" w:rsidRDefault="00AA31C3" w:rsidP="00AA31C3">
      <w:pPr>
        <w:rPr>
          <w:b/>
          <w:bCs/>
          <w:lang w:val="nl-BE"/>
        </w:rPr>
      </w:pPr>
      <w:r w:rsidRPr="001271DD">
        <w:rPr>
          <w:lang w:val="nl-BE"/>
        </w:rPr>
        <w:t xml:space="preserve">Vrouwen en meisjes met een handicap ondervinden </w:t>
      </w:r>
      <w:r w:rsidRPr="001271DD">
        <w:rPr>
          <w:b/>
          <w:bCs/>
          <w:lang w:val="nl-BE"/>
        </w:rPr>
        <w:t xml:space="preserve">belemmeringen </w:t>
      </w:r>
      <w:r w:rsidRPr="001271DD">
        <w:rPr>
          <w:lang w:val="nl-BE"/>
        </w:rPr>
        <w:t xml:space="preserve">bij het melden van geweld, </w:t>
      </w:r>
      <w:r w:rsidRPr="001271DD">
        <w:rPr>
          <w:b/>
          <w:bCs/>
          <w:lang w:val="nl-BE"/>
        </w:rPr>
        <w:t xml:space="preserve">zoals ontoegankelijke diensten </w:t>
      </w:r>
      <w:r w:rsidRPr="001271DD">
        <w:rPr>
          <w:lang w:val="nl-BE"/>
        </w:rPr>
        <w:t xml:space="preserve">of </w:t>
      </w:r>
      <w:r w:rsidRPr="001271DD">
        <w:rPr>
          <w:b/>
          <w:bCs/>
          <w:lang w:val="nl-BE"/>
        </w:rPr>
        <w:t xml:space="preserve">een gebrek aan passende ondersteuning om hun weg te vinden in het rechtssysteem. </w:t>
      </w:r>
      <w:r w:rsidRPr="001271DD">
        <w:rPr>
          <w:lang w:val="nl-BE"/>
        </w:rPr>
        <w:t xml:space="preserve">Dit leidt ertoe dat </w:t>
      </w:r>
      <w:r w:rsidRPr="001271DD">
        <w:rPr>
          <w:b/>
          <w:bCs/>
          <w:lang w:val="nl-BE"/>
        </w:rPr>
        <w:t>slechts</w:t>
      </w:r>
      <w:r w:rsidRPr="001271DD">
        <w:rPr>
          <w:lang w:val="nl-BE"/>
        </w:rPr>
        <w:t xml:space="preserve"> een </w:t>
      </w:r>
      <w:r w:rsidRPr="001271DD">
        <w:rPr>
          <w:b/>
          <w:bCs/>
          <w:lang w:val="nl-BE"/>
        </w:rPr>
        <w:t xml:space="preserve">klein aantal gevallen van geweld wordt gemeld, </w:t>
      </w:r>
      <w:r w:rsidRPr="001271DD">
        <w:rPr>
          <w:lang w:val="nl-BE"/>
        </w:rPr>
        <w:t xml:space="preserve">en dat </w:t>
      </w:r>
      <w:r w:rsidRPr="001271DD">
        <w:rPr>
          <w:b/>
          <w:bCs/>
          <w:lang w:val="nl-BE"/>
        </w:rPr>
        <w:t xml:space="preserve">slechts een fractie </w:t>
      </w:r>
      <w:r w:rsidRPr="001271DD">
        <w:rPr>
          <w:lang w:val="nl-BE"/>
        </w:rPr>
        <w:t xml:space="preserve">daarvan </w:t>
      </w:r>
      <w:r w:rsidRPr="001271DD">
        <w:rPr>
          <w:b/>
          <w:bCs/>
          <w:lang w:val="nl-BE"/>
        </w:rPr>
        <w:t>wordt onderzocht, vervolgd of veroordeeld.</w:t>
      </w:r>
    </w:p>
    <w:p w14:paraId="0D7C4004" w14:textId="0F31366B" w:rsidR="00B27C44" w:rsidRPr="001271DD" w:rsidRDefault="00B27C44" w:rsidP="00B27C44">
      <w:pPr>
        <w:rPr>
          <w:lang w:val="nl-BE"/>
        </w:rPr>
      </w:pPr>
      <w:r w:rsidRPr="001271DD">
        <w:rPr>
          <w:b/>
          <w:bCs/>
          <w:lang w:val="nl-BE"/>
        </w:rPr>
        <w:t>De richtlijn verwijst specifiek naar vrouwen met een handicap en naar het Verdrag van de Verenigde Naties inzake de rechten van personen met een handicap.</w:t>
      </w:r>
      <w:r w:rsidR="001271DD" w:rsidRPr="001271DD">
        <w:rPr>
          <w:b/>
          <w:bCs/>
          <w:lang w:val="nl-BE"/>
        </w:rPr>
        <w:t xml:space="preserve"> </w:t>
      </w:r>
      <w:r w:rsidRPr="001271DD">
        <w:rPr>
          <w:lang w:val="nl-BE"/>
        </w:rPr>
        <w:t>De richtlijn roept de EU-lidstaten op om:</w:t>
      </w:r>
    </w:p>
    <w:p w14:paraId="72B0A44E" w14:textId="09E76285" w:rsidR="00B27C44" w:rsidRPr="001271DD" w:rsidRDefault="00B27C44" w:rsidP="00B27C44">
      <w:pPr>
        <w:numPr>
          <w:ilvl w:val="0"/>
          <w:numId w:val="12"/>
        </w:numPr>
        <w:rPr>
          <w:lang w:val="nl-BE"/>
        </w:rPr>
      </w:pPr>
      <w:r w:rsidRPr="001271DD">
        <w:rPr>
          <w:b/>
          <w:bCs/>
          <w:lang w:val="nl-BE"/>
        </w:rPr>
        <w:t>Verzwarende omstandigheden</w:t>
      </w:r>
      <w:r w:rsidRPr="001271DD">
        <w:rPr>
          <w:lang w:val="nl-BE"/>
        </w:rPr>
        <w:t xml:space="preserve"> vast te stellen </w:t>
      </w:r>
      <w:r w:rsidRPr="001271DD">
        <w:rPr>
          <w:b/>
          <w:bCs/>
          <w:lang w:val="nl-BE"/>
        </w:rPr>
        <w:t xml:space="preserve">voor strafbare feiten die tegen personen met een handicap worden gepleegd </w:t>
      </w:r>
      <w:r w:rsidRPr="001271DD">
        <w:rPr>
          <w:lang w:val="nl-BE"/>
        </w:rPr>
        <w:t>(artikelen 3 tot en met 8)</w:t>
      </w:r>
    </w:p>
    <w:p w14:paraId="7D9C2FC8" w14:textId="77777777" w:rsidR="00B27C44" w:rsidRPr="001271DD" w:rsidRDefault="00B27C44" w:rsidP="00B27C44">
      <w:pPr>
        <w:numPr>
          <w:ilvl w:val="0"/>
          <w:numId w:val="12"/>
        </w:numPr>
        <w:rPr>
          <w:lang w:val="nl-BE"/>
        </w:rPr>
      </w:pPr>
      <w:r w:rsidRPr="001271DD">
        <w:rPr>
          <w:lang w:val="nl-BE"/>
        </w:rPr>
        <w:t xml:space="preserve">richtsnoeren voor wetshandhavingsinstanties en gerechtelijke autoriteiten te publiceren over </w:t>
      </w:r>
      <w:r w:rsidRPr="001271DD">
        <w:rPr>
          <w:b/>
          <w:bCs/>
          <w:lang w:val="nl-BE"/>
        </w:rPr>
        <w:t xml:space="preserve">de behandeling van slachtoffers, met name rekening houdend met hun handicap </w:t>
      </w:r>
      <w:r w:rsidRPr="001271DD">
        <w:rPr>
          <w:lang w:val="nl-BE"/>
        </w:rPr>
        <w:t>(artikel 21)</w:t>
      </w:r>
    </w:p>
    <w:p w14:paraId="6BE1F7C7" w14:textId="1E3C4774" w:rsidR="00B27C44" w:rsidRPr="001271DD" w:rsidRDefault="00B27C44" w:rsidP="00B27C44">
      <w:pPr>
        <w:numPr>
          <w:ilvl w:val="0"/>
          <w:numId w:val="12"/>
        </w:numPr>
        <w:rPr>
          <w:lang w:val="nl-BE"/>
        </w:rPr>
      </w:pPr>
      <w:r w:rsidRPr="001271DD">
        <w:rPr>
          <w:lang w:val="nl-BE"/>
        </w:rPr>
        <w:lastRenderedPageBreak/>
        <w:t xml:space="preserve">te zorgen voor de beschikbaarheid en toegankelijkheid van hulplijnen voor slachtoffers, </w:t>
      </w:r>
      <w:r w:rsidRPr="001271DD">
        <w:rPr>
          <w:b/>
          <w:bCs/>
          <w:lang w:val="nl-BE"/>
        </w:rPr>
        <w:t>met inbegrip van eindgebruikers met een handicap</w:t>
      </w:r>
      <w:r w:rsidRPr="001271DD">
        <w:rPr>
          <w:lang w:val="nl-BE"/>
        </w:rPr>
        <w:t xml:space="preserve">, door maatregelen te nemen zoals </w:t>
      </w:r>
      <w:r w:rsidRPr="001271DD">
        <w:rPr>
          <w:b/>
          <w:bCs/>
          <w:lang w:val="nl-BE"/>
        </w:rPr>
        <w:t xml:space="preserve">hulp in een gemakkelijk te begrijpen taal </w:t>
      </w:r>
      <w:r w:rsidRPr="001271DD">
        <w:rPr>
          <w:lang w:val="nl-BE"/>
        </w:rPr>
        <w:t>(artikel 29)</w:t>
      </w:r>
    </w:p>
    <w:p w14:paraId="2D937239" w14:textId="47236A6B" w:rsidR="00B27C44" w:rsidRPr="001271DD" w:rsidRDefault="00B27C44" w:rsidP="00B27C44">
      <w:pPr>
        <w:numPr>
          <w:ilvl w:val="0"/>
          <w:numId w:val="12"/>
        </w:numPr>
        <w:rPr>
          <w:lang w:val="nl-BE"/>
        </w:rPr>
      </w:pPr>
      <w:r w:rsidRPr="001271DD">
        <w:rPr>
          <w:lang w:val="nl-BE"/>
        </w:rPr>
        <w:t xml:space="preserve">Ervoor zorgen dat alle </w:t>
      </w:r>
      <w:r w:rsidRPr="001271DD">
        <w:rPr>
          <w:b/>
          <w:bCs/>
          <w:lang w:val="nl-BE"/>
        </w:rPr>
        <w:t xml:space="preserve">hulpdiensten </w:t>
      </w:r>
      <w:r w:rsidRPr="001271DD">
        <w:rPr>
          <w:lang w:val="nl-BE"/>
        </w:rPr>
        <w:t xml:space="preserve">die onder de richtlijn vallen, over voldoende capaciteit beschikken om </w:t>
      </w:r>
      <w:r w:rsidRPr="001271DD">
        <w:rPr>
          <w:b/>
          <w:bCs/>
          <w:lang w:val="nl-BE"/>
        </w:rPr>
        <w:t>slachtoffers met een handicap op te vangen</w:t>
      </w:r>
      <w:r w:rsidRPr="001271DD">
        <w:rPr>
          <w:lang w:val="nl-BE"/>
        </w:rPr>
        <w:t>, rekening houdend met hun behoeften, onder meer op het gebied van persoonlijke bijstand (artikel 33).</w:t>
      </w:r>
    </w:p>
    <w:p w14:paraId="0C91D2F8" w14:textId="6F6C2985" w:rsidR="00B27C44" w:rsidRPr="001271DD" w:rsidRDefault="00B27C44" w:rsidP="00B27C44">
      <w:pPr>
        <w:numPr>
          <w:ilvl w:val="0"/>
          <w:numId w:val="12"/>
        </w:numPr>
        <w:rPr>
          <w:lang w:val="nl-BE"/>
        </w:rPr>
      </w:pPr>
      <w:r w:rsidRPr="001271DD">
        <w:rPr>
          <w:lang w:val="nl-BE"/>
        </w:rPr>
        <w:t xml:space="preserve">Preventieve maatregelen nemen en informatie presenteren in een voor personen met een handicap </w:t>
      </w:r>
      <w:r w:rsidRPr="001271DD">
        <w:rPr>
          <w:b/>
          <w:bCs/>
          <w:lang w:val="nl-BE"/>
        </w:rPr>
        <w:t xml:space="preserve">toegankelijk formaat </w:t>
      </w:r>
      <w:r w:rsidRPr="001271DD">
        <w:rPr>
          <w:lang w:val="nl-BE"/>
        </w:rPr>
        <w:t>(artikel 34).</w:t>
      </w:r>
    </w:p>
    <w:p w14:paraId="51573AE6" w14:textId="77777777" w:rsidR="00B27C44" w:rsidRPr="001271DD" w:rsidRDefault="00B27C44" w:rsidP="00B27C44">
      <w:pPr>
        <w:numPr>
          <w:ilvl w:val="0"/>
          <w:numId w:val="12"/>
        </w:numPr>
        <w:rPr>
          <w:lang w:val="nl-BE"/>
        </w:rPr>
      </w:pPr>
      <w:r w:rsidRPr="001271DD">
        <w:rPr>
          <w:lang w:val="nl-BE"/>
        </w:rPr>
        <w:t xml:space="preserve">Ervoor zorgen dat justitiemedewerkers algemene en gespecialiseerde </w:t>
      </w:r>
      <w:r w:rsidRPr="001271DD">
        <w:rPr>
          <w:b/>
          <w:bCs/>
          <w:lang w:val="nl-BE"/>
        </w:rPr>
        <w:t>opleidingen</w:t>
      </w:r>
      <w:r w:rsidRPr="001271DD">
        <w:rPr>
          <w:lang w:val="nl-BE"/>
        </w:rPr>
        <w:t xml:space="preserve"> krijgen die gebaseerd zijn op de mensenrechten, gericht zijn op slachtoffers en </w:t>
      </w:r>
      <w:r w:rsidRPr="001271DD">
        <w:rPr>
          <w:b/>
          <w:bCs/>
          <w:lang w:val="nl-BE"/>
        </w:rPr>
        <w:t xml:space="preserve">rekening houden met </w:t>
      </w:r>
      <w:r w:rsidRPr="001271DD">
        <w:rPr>
          <w:lang w:val="nl-BE"/>
        </w:rPr>
        <w:t xml:space="preserve">gender-, </w:t>
      </w:r>
      <w:r w:rsidRPr="001271DD">
        <w:rPr>
          <w:b/>
          <w:bCs/>
          <w:lang w:val="nl-BE"/>
        </w:rPr>
        <w:t xml:space="preserve">handicap- </w:t>
      </w:r>
      <w:r w:rsidRPr="001271DD">
        <w:rPr>
          <w:lang w:val="nl-BE"/>
        </w:rPr>
        <w:t xml:space="preserve">en </w:t>
      </w:r>
      <w:r w:rsidRPr="001271DD">
        <w:rPr>
          <w:b/>
          <w:bCs/>
          <w:lang w:val="nl-BE"/>
        </w:rPr>
        <w:t xml:space="preserve">kinderkwesties </w:t>
      </w:r>
      <w:r w:rsidRPr="001271DD">
        <w:rPr>
          <w:lang w:val="nl-BE"/>
        </w:rPr>
        <w:t>(artikel 36).</w:t>
      </w:r>
    </w:p>
    <w:p w14:paraId="24676E21" w14:textId="718CF71E" w:rsidR="00B27C44" w:rsidRPr="00B27C44" w:rsidRDefault="00B27C44" w:rsidP="00B27C44">
      <w:pPr>
        <w:rPr>
          <w:b/>
          <w:bCs/>
          <w:lang w:val="fr-BE"/>
        </w:rPr>
      </w:pPr>
      <w:r w:rsidRPr="00B27C44">
        <w:rPr>
          <w:b/>
          <w:bCs/>
          <w:lang w:val="fr-BE"/>
        </w:rPr>
        <w:t xml:space="preserve">Wat </w:t>
      </w:r>
      <w:proofErr w:type="spellStart"/>
      <w:r w:rsidRPr="00B27C44">
        <w:rPr>
          <w:b/>
          <w:bCs/>
          <w:lang w:val="fr-BE"/>
        </w:rPr>
        <w:t>ontbreekt</w:t>
      </w:r>
      <w:proofErr w:type="spellEnd"/>
      <w:r w:rsidRPr="00B27C44">
        <w:rPr>
          <w:b/>
          <w:bCs/>
          <w:lang w:val="fr-BE"/>
        </w:rPr>
        <w:t xml:space="preserve"> in de </w:t>
      </w:r>
      <w:proofErr w:type="spellStart"/>
      <w:r w:rsidRPr="00B27C44">
        <w:rPr>
          <w:b/>
          <w:bCs/>
          <w:lang w:val="fr-BE"/>
        </w:rPr>
        <w:t>richtlijn</w:t>
      </w:r>
      <w:proofErr w:type="spellEnd"/>
    </w:p>
    <w:p w14:paraId="4746BD5F" w14:textId="6B7885E5" w:rsidR="00AA31C3" w:rsidRPr="001271DD" w:rsidRDefault="00B27C44" w:rsidP="00B27C44">
      <w:pPr>
        <w:pStyle w:val="Paragraphedeliste"/>
        <w:numPr>
          <w:ilvl w:val="0"/>
          <w:numId w:val="14"/>
        </w:numPr>
        <w:rPr>
          <w:lang w:val="nl-BE"/>
        </w:rPr>
      </w:pPr>
      <w:r w:rsidRPr="001271DD">
        <w:rPr>
          <w:lang w:val="nl-BE"/>
        </w:rPr>
        <w:t>Geen verplichting om gedwongen sterilisaties te verbieden</w:t>
      </w:r>
    </w:p>
    <w:p w14:paraId="4C360F53" w14:textId="27999C40" w:rsidR="00B27C44" w:rsidRPr="001271DD" w:rsidRDefault="00B27C44" w:rsidP="00B27C44">
      <w:pPr>
        <w:pStyle w:val="Paragraphedeliste"/>
        <w:numPr>
          <w:ilvl w:val="0"/>
          <w:numId w:val="14"/>
        </w:numPr>
        <w:rPr>
          <w:lang w:val="nl-BE"/>
        </w:rPr>
      </w:pPr>
      <w:r w:rsidRPr="001271DD">
        <w:rPr>
          <w:lang w:val="nl-BE"/>
        </w:rPr>
        <w:t>Geen definitie en strafbaarstelling van verkrachting</w:t>
      </w:r>
    </w:p>
    <w:p w14:paraId="279191E3" w14:textId="74D20540" w:rsidR="00B27C44" w:rsidRPr="001271DD" w:rsidRDefault="00B27C44" w:rsidP="00B27C44">
      <w:pPr>
        <w:pStyle w:val="Paragraphedeliste"/>
        <w:numPr>
          <w:ilvl w:val="0"/>
          <w:numId w:val="14"/>
        </w:numPr>
        <w:rPr>
          <w:lang w:val="nl-BE"/>
        </w:rPr>
      </w:pPr>
      <w:r w:rsidRPr="001271DD">
        <w:rPr>
          <w:lang w:val="nl-BE"/>
        </w:rPr>
        <w:t>Geen verplichting om gegevens te verzamelen per type handicap</w:t>
      </w:r>
    </w:p>
    <w:p w14:paraId="179414E8" w14:textId="77777777" w:rsidR="00B27C44" w:rsidRPr="001271DD" w:rsidRDefault="00B27C44" w:rsidP="00AA31C3">
      <w:pPr>
        <w:rPr>
          <w:lang w:val="nl-BE"/>
        </w:rPr>
      </w:pPr>
    </w:p>
    <w:p w14:paraId="78A2C499" w14:textId="7A329B4C" w:rsidR="00AA31C3" w:rsidRPr="001271DD" w:rsidRDefault="00AA31C3" w:rsidP="00AA31C3">
      <w:pPr>
        <w:rPr>
          <w:lang w:val="nl-BE"/>
        </w:rPr>
      </w:pPr>
    </w:p>
    <w:p w14:paraId="5950E43A" w14:textId="77777777" w:rsidR="00AA31C3" w:rsidRPr="001271DD" w:rsidRDefault="00AA31C3" w:rsidP="00AA31C3">
      <w:pPr>
        <w:rPr>
          <w:lang w:val="nl-BE"/>
        </w:rPr>
      </w:pPr>
    </w:p>
    <w:sectPr w:rsidR="00AA31C3" w:rsidRPr="00127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857"/>
    <w:multiLevelType w:val="hybridMultilevel"/>
    <w:tmpl w:val="BA004C56"/>
    <w:lvl w:ilvl="0" w:tplc="12687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C854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02CEC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5AD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AE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4E1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664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92E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8E2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5049D1"/>
    <w:multiLevelType w:val="hybridMultilevel"/>
    <w:tmpl w:val="30B62684"/>
    <w:lvl w:ilvl="0" w:tplc="10E6B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BE4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F85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5A5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C60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A5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20A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E88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023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6C445F"/>
    <w:multiLevelType w:val="hybridMultilevel"/>
    <w:tmpl w:val="83943C7A"/>
    <w:lvl w:ilvl="0" w:tplc="BF1AC39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D4D64"/>
    <w:multiLevelType w:val="hybridMultilevel"/>
    <w:tmpl w:val="41581C12"/>
    <w:lvl w:ilvl="0" w:tplc="FA5C57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446D4"/>
    <w:multiLevelType w:val="hybridMultilevel"/>
    <w:tmpl w:val="D584CEF8"/>
    <w:lvl w:ilvl="0" w:tplc="BF1AC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80E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843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7C7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2F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464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3E7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8E0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6D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3E61AD"/>
    <w:multiLevelType w:val="hybridMultilevel"/>
    <w:tmpl w:val="8DF2221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1AC39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450EF4"/>
    <w:multiLevelType w:val="hybridMultilevel"/>
    <w:tmpl w:val="D270AA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C4823"/>
    <w:multiLevelType w:val="hybridMultilevel"/>
    <w:tmpl w:val="32E4C1DC"/>
    <w:lvl w:ilvl="0" w:tplc="992820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6075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4002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8C7C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DCA9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CA05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8837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707A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7C5A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F762196"/>
    <w:multiLevelType w:val="hybridMultilevel"/>
    <w:tmpl w:val="7F40237C"/>
    <w:lvl w:ilvl="0" w:tplc="9EF6C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362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FE9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8B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425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743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A664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8AF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006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1451D41"/>
    <w:multiLevelType w:val="hybridMultilevel"/>
    <w:tmpl w:val="D668E230"/>
    <w:lvl w:ilvl="0" w:tplc="E11A5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44FD0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9C3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1CF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941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886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E6B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EA3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C65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A664F69"/>
    <w:multiLevelType w:val="hybridMultilevel"/>
    <w:tmpl w:val="492C88B8"/>
    <w:lvl w:ilvl="0" w:tplc="97201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21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764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665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AD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D01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6A6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4E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A0A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15371BF"/>
    <w:multiLevelType w:val="hybridMultilevel"/>
    <w:tmpl w:val="F452B362"/>
    <w:lvl w:ilvl="0" w:tplc="BF1AC39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C15CD"/>
    <w:multiLevelType w:val="hybridMultilevel"/>
    <w:tmpl w:val="15524888"/>
    <w:lvl w:ilvl="0" w:tplc="0310F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243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003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03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408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586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ED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C42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EE8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BE84729"/>
    <w:multiLevelType w:val="hybridMultilevel"/>
    <w:tmpl w:val="DCC40DBA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28057343">
    <w:abstractNumId w:val="3"/>
  </w:num>
  <w:num w:numId="2" w16cid:durableId="1302691193">
    <w:abstractNumId w:val="4"/>
  </w:num>
  <w:num w:numId="3" w16cid:durableId="1065493773">
    <w:abstractNumId w:val="0"/>
  </w:num>
  <w:num w:numId="4" w16cid:durableId="762649727">
    <w:abstractNumId w:val="11"/>
  </w:num>
  <w:num w:numId="5" w16cid:durableId="1223832650">
    <w:abstractNumId w:val="6"/>
  </w:num>
  <w:num w:numId="6" w16cid:durableId="218639147">
    <w:abstractNumId w:val="7"/>
  </w:num>
  <w:num w:numId="7" w16cid:durableId="2031568466">
    <w:abstractNumId w:val="1"/>
  </w:num>
  <w:num w:numId="8" w16cid:durableId="1771389175">
    <w:abstractNumId w:val="9"/>
  </w:num>
  <w:num w:numId="9" w16cid:durableId="839664690">
    <w:abstractNumId w:val="13"/>
  </w:num>
  <w:num w:numId="10" w16cid:durableId="1992051087">
    <w:abstractNumId w:val="5"/>
  </w:num>
  <w:num w:numId="11" w16cid:durableId="525754219">
    <w:abstractNumId w:val="10"/>
  </w:num>
  <w:num w:numId="12" w16cid:durableId="711004502">
    <w:abstractNumId w:val="12"/>
  </w:num>
  <w:num w:numId="13" w16cid:durableId="566644499">
    <w:abstractNumId w:val="8"/>
  </w:num>
  <w:num w:numId="14" w16cid:durableId="1098211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60"/>
    <w:rsid w:val="001271DD"/>
    <w:rsid w:val="00184960"/>
    <w:rsid w:val="003960C5"/>
    <w:rsid w:val="00402521"/>
    <w:rsid w:val="00491DA0"/>
    <w:rsid w:val="00926CA6"/>
    <w:rsid w:val="00AA31C3"/>
    <w:rsid w:val="00AF32E2"/>
    <w:rsid w:val="00B27C44"/>
    <w:rsid w:val="00D2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5972"/>
  <w15:chartTrackingRefBased/>
  <w15:docId w15:val="{7CBB2A17-1763-475F-91D7-4EFC950C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21"/>
    <w:pPr>
      <w:spacing w:after="360" w:line="36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184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4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4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4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4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4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4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4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4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M2">
    <w:name w:val="Style M2"/>
    <w:basedOn w:val="Normal"/>
    <w:link w:val="StyleM2Car"/>
    <w:autoRedefine/>
    <w:qFormat/>
    <w:rsid w:val="00402521"/>
    <w:pPr>
      <w:spacing w:before="160" w:line="240" w:lineRule="auto"/>
      <w:jc w:val="center"/>
    </w:pPr>
    <w:rPr>
      <w:b/>
      <w:bCs/>
      <w:sz w:val="28"/>
      <w:szCs w:val="28"/>
      <w:lang w:val="fr-BE"/>
    </w:rPr>
  </w:style>
  <w:style w:type="character" w:customStyle="1" w:styleId="StyleM2Car">
    <w:name w:val="Style M2 Car"/>
    <w:basedOn w:val="Policepardfaut"/>
    <w:link w:val="StyleM2"/>
    <w:rsid w:val="00402521"/>
    <w:rPr>
      <w:b/>
      <w:bCs/>
      <w:sz w:val="28"/>
      <w:szCs w:val="28"/>
      <w:lang w:val="fr-BE"/>
    </w:rPr>
  </w:style>
  <w:style w:type="paragraph" w:customStyle="1" w:styleId="StyleM3">
    <w:name w:val="Style M3"/>
    <w:basedOn w:val="Normal"/>
    <w:link w:val="StyleM3Car"/>
    <w:autoRedefine/>
    <w:qFormat/>
    <w:rsid w:val="00402521"/>
    <w:pPr>
      <w:spacing w:before="360" w:after="120" w:line="240" w:lineRule="auto"/>
    </w:pPr>
    <w:rPr>
      <w:i/>
      <w:iCs/>
      <w:lang w:val="fr-BE"/>
    </w:rPr>
  </w:style>
  <w:style w:type="character" w:customStyle="1" w:styleId="StyleM3Car">
    <w:name w:val="Style M3 Car"/>
    <w:basedOn w:val="Policepardfaut"/>
    <w:link w:val="StyleM3"/>
    <w:rsid w:val="00402521"/>
    <w:rPr>
      <w:i/>
      <w:iCs/>
      <w:lang w:val="fr-BE"/>
    </w:rPr>
  </w:style>
  <w:style w:type="character" w:customStyle="1" w:styleId="Titre1Car">
    <w:name w:val="Titre 1 Car"/>
    <w:basedOn w:val="Policepardfaut"/>
    <w:link w:val="Titre1"/>
    <w:uiPriority w:val="9"/>
    <w:rsid w:val="00184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4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4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49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49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49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49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49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49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4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4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49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4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49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49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49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49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4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49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49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31C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5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8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9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4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2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68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03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3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5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5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2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69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9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34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69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97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4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40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49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79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53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00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41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7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5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3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0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6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6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2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8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Dossin Muriel</dc:creator>
  <cp:keywords>, docId:1F9EB22BE0B7C8250BD35503116F596F</cp:keywords>
  <dc:description/>
  <cp:lastModifiedBy>Dossin Muriel</cp:lastModifiedBy>
  <cp:revision>3</cp:revision>
  <dcterms:created xsi:type="dcterms:W3CDTF">2025-08-26T14:07:00Z</dcterms:created>
  <dcterms:modified xsi:type="dcterms:W3CDTF">2025-08-26T14:39:00Z</dcterms:modified>
</cp:coreProperties>
</file>