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03026C" w14:textId="77777777" w:rsidR="00FB573D" w:rsidRDefault="00FB573D"/>
    <w:p w14:paraId="3A809D63" w14:textId="77777777" w:rsidR="005D04C0" w:rsidRDefault="005D04C0" w:rsidP="005D04C0">
      <w:pPr>
        <w:pBdr>
          <w:top w:val="single" w:sz="4" w:space="1" w:color="auto"/>
          <w:left w:val="single" w:sz="4" w:space="4" w:color="auto"/>
          <w:bottom w:val="single" w:sz="4" w:space="1" w:color="auto"/>
          <w:right w:val="single" w:sz="4" w:space="4" w:color="auto"/>
        </w:pBdr>
        <w:jc w:val="center"/>
        <w:outlineLvl w:val="0"/>
        <w:rPr>
          <w:b/>
          <w:sz w:val="28"/>
          <w:szCs w:val="28"/>
          <w:lang w:val="nl-BE"/>
        </w:rPr>
      </w:pPr>
    </w:p>
    <w:p w14:paraId="7322A29F" w14:textId="77777777" w:rsidR="005D04C0" w:rsidRDefault="005D04C0" w:rsidP="005D04C0">
      <w:pPr>
        <w:pBdr>
          <w:top w:val="single" w:sz="4" w:space="1" w:color="auto"/>
          <w:left w:val="single" w:sz="4" w:space="4" w:color="auto"/>
          <w:bottom w:val="single" w:sz="4" w:space="1" w:color="auto"/>
          <w:right w:val="single" w:sz="4" w:space="4" w:color="auto"/>
        </w:pBdr>
        <w:jc w:val="center"/>
        <w:outlineLvl w:val="0"/>
        <w:rPr>
          <w:b/>
          <w:sz w:val="28"/>
          <w:szCs w:val="28"/>
          <w:lang w:val="nl-BE"/>
        </w:rPr>
      </w:pPr>
    </w:p>
    <w:p w14:paraId="12C5AECB" w14:textId="78BB6A6C" w:rsidR="005D04C0" w:rsidRDefault="00571D39" w:rsidP="005D04C0">
      <w:pPr>
        <w:pBdr>
          <w:top w:val="single" w:sz="4" w:space="1" w:color="auto"/>
          <w:left w:val="single" w:sz="4" w:space="4" w:color="auto"/>
          <w:bottom w:val="single" w:sz="4" w:space="1" w:color="auto"/>
          <w:right w:val="single" w:sz="4" w:space="4" w:color="auto"/>
        </w:pBdr>
        <w:jc w:val="center"/>
        <w:outlineLvl w:val="0"/>
        <w:rPr>
          <w:b/>
          <w:sz w:val="28"/>
          <w:szCs w:val="28"/>
          <w:lang w:val="nl-BE"/>
        </w:rPr>
      </w:pPr>
      <w:r>
        <w:rPr>
          <w:b/>
          <w:noProof/>
          <w:sz w:val="28"/>
          <w:szCs w:val="28"/>
          <w:lang w:val="nl-BE"/>
        </w:rPr>
        <w:drawing>
          <wp:inline distT="0" distB="0" distL="0" distR="0" wp14:anchorId="7E3D059C" wp14:editId="48EEAE5B">
            <wp:extent cx="1952625" cy="1076325"/>
            <wp:effectExtent l="0" t="0" r="0" b="0"/>
            <wp:docPr id="1"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952625" cy="1076325"/>
                    </a:xfrm>
                    <a:prstGeom prst="rect">
                      <a:avLst/>
                    </a:prstGeom>
                    <a:noFill/>
                    <a:ln>
                      <a:noFill/>
                    </a:ln>
                  </pic:spPr>
                </pic:pic>
              </a:graphicData>
            </a:graphic>
          </wp:inline>
        </w:drawing>
      </w:r>
    </w:p>
    <w:p w14:paraId="44CF4D21" w14:textId="77777777" w:rsidR="005D04C0" w:rsidRDefault="005D04C0" w:rsidP="005D04C0">
      <w:pPr>
        <w:pBdr>
          <w:top w:val="single" w:sz="4" w:space="1" w:color="auto"/>
          <w:left w:val="single" w:sz="4" w:space="4" w:color="auto"/>
          <w:bottom w:val="single" w:sz="4" w:space="1" w:color="auto"/>
          <w:right w:val="single" w:sz="4" w:space="4" w:color="auto"/>
        </w:pBdr>
        <w:jc w:val="center"/>
        <w:outlineLvl w:val="0"/>
        <w:rPr>
          <w:b/>
          <w:sz w:val="28"/>
          <w:szCs w:val="28"/>
          <w:lang w:val="nl-BE"/>
        </w:rPr>
      </w:pPr>
    </w:p>
    <w:p w14:paraId="5FCECB58" w14:textId="77777777" w:rsidR="005D04C0" w:rsidRPr="009A0AC2" w:rsidRDefault="005D04C0" w:rsidP="005D04C0">
      <w:pPr>
        <w:pBdr>
          <w:top w:val="single" w:sz="4" w:space="1" w:color="auto"/>
          <w:left w:val="single" w:sz="4" w:space="4" w:color="auto"/>
          <w:bottom w:val="single" w:sz="4" w:space="1" w:color="auto"/>
          <w:right w:val="single" w:sz="4" w:space="4" w:color="auto"/>
        </w:pBdr>
        <w:jc w:val="center"/>
        <w:outlineLvl w:val="0"/>
        <w:rPr>
          <w:b/>
          <w:sz w:val="28"/>
          <w:szCs w:val="28"/>
          <w:lang w:val="nl-BE"/>
        </w:rPr>
      </w:pPr>
    </w:p>
    <w:p w14:paraId="3C499190" w14:textId="77777777" w:rsidR="004500AD" w:rsidRPr="004500AD" w:rsidRDefault="004500AD" w:rsidP="004500AD">
      <w:pPr>
        <w:rPr>
          <w:b/>
          <w:bCs/>
        </w:rPr>
      </w:pPr>
      <w:r w:rsidRPr="004500AD">
        <w:rPr>
          <w:rFonts w:ascii="Arial" w:hAnsi="Arial" w:cs="Arial"/>
          <w:b/>
          <w:bCs/>
          <w:i/>
          <w:iCs/>
          <w:szCs w:val="22"/>
        </w:rPr>
        <w:t> </w:t>
      </w:r>
    </w:p>
    <w:p w14:paraId="4DA0BDBD" w14:textId="40D9DF06" w:rsidR="007D5A21" w:rsidRPr="00067CE7" w:rsidRDefault="007D5A21" w:rsidP="007D5A21">
      <w:pPr>
        <w:spacing w:before="100" w:beforeAutospacing="1" w:after="100" w:afterAutospacing="1"/>
        <w:jc w:val="both"/>
        <w:rPr>
          <w:rFonts w:ascii="Aptos" w:hAnsi="Aptos"/>
          <w:b/>
          <w:bCs/>
          <w:sz w:val="24"/>
          <w:lang w:val="fr-FR" w:eastAsia="en-US"/>
        </w:rPr>
      </w:pPr>
      <w:r w:rsidRPr="00067CE7">
        <w:rPr>
          <w:b/>
          <w:bCs/>
          <w:i/>
          <w:iCs/>
          <w:lang w:val="fr-FR"/>
        </w:rPr>
        <w:t xml:space="preserve">Le secrétariat du </w:t>
      </w:r>
      <w:r w:rsidR="006A7AB6" w:rsidRPr="006A7AB6">
        <w:rPr>
          <w:b/>
          <w:bCs/>
          <w:i/>
          <w:iCs/>
          <w:lang w:val="fr-FR"/>
        </w:rPr>
        <w:t>Conseil Supérieur National des Personnes Handicapées (CSNPH)</w:t>
      </w:r>
      <w:r w:rsidRPr="00067CE7">
        <w:rPr>
          <w:b/>
          <w:bCs/>
          <w:i/>
          <w:iCs/>
          <w:lang w:val="fr-FR"/>
        </w:rPr>
        <w:t xml:space="preserve"> est actuellement en sous-effectif important.</w:t>
      </w:r>
    </w:p>
    <w:p w14:paraId="2A9BD175" w14:textId="6CAA44CF" w:rsidR="007D5A21" w:rsidRPr="00067CE7" w:rsidRDefault="007D5A21" w:rsidP="007D5A21">
      <w:pPr>
        <w:spacing w:before="100" w:beforeAutospacing="1" w:after="100" w:afterAutospacing="1"/>
        <w:jc w:val="both"/>
        <w:rPr>
          <w:b/>
          <w:bCs/>
          <w:lang w:val="fr-FR"/>
        </w:rPr>
      </w:pPr>
      <w:r w:rsidRPr="00067CE7">
        <w:rPr>
          <w:b/>
          <w:bCs/>
          <w:i/>
          <w:iCs/>
          <w:lang w:val="fr-FR"/>
        </w:rPr>
        <w:t>Le 9</w:t>
      </w:r>
      <w:r>
        <w:rPr>
          <w:b/>
          <w:bCs/>
          <w:i/>
          <w:iCs/>
          <w:lang w:val="fr-FR"/>
        </w:rPr>
        <w:t> </w:t>
      </w:r>
      <w:r w:rsidRPr="00067CE7">
        <w:rPr>
          <w:b/>
          <w:bCs/>
          <w:i/>
          <w:iCs/>
          <w:lang w:val="fr-FR"/>
        </w:rPr>
        <w:t xml:space="preserve">mai </w:t>
      </w:r>
      <w:r w:rsidR="00EA447E">
        <w:rPr>
          <w:b/>
          <w:bCs/>
          <w:i/>
          <w:iCs/>
          <w:lang w:val="fr-FR"/>
        </w:rPr>
        <w:t>2025</w:t>
      </w:r>
      <w:r w:rsidRPr="00067CE7">
        <w:rPr>
          <w:b/>
          <w:bCs/>
          <w:i/>
          <w:iCs/>
          <w:lang w:val="fr-FR"/>
        </w:rPr>
        <w:t xml:space="preserve">, le Comité de direction du Service public fédéral Sécurité sociale a décidé que les collaborateurs qui ne travaillaient plus pour le secrétariat ne seraient pas remplacés. </w:t>
      </w:r>
    </w:p>
    <w:p w14:paraId="36BF339F" w14:textId="77777777" w:rsidR="007D5A21" w:rsidRPr="00067CE7" w:rsidRDefault="007D5A21" w:rsidP="007D5A21">
      <w:pPr>
        <w:spacing w:before="100" w:beforeAutospacing="1" w:after="100" w:afterAutospacing="1"/>
        <w:jc w:val="both"/>
        <w:rPr>
          <w:b/>
          <w:bCs/>
          <w:lang w:val="fr-FR"/>
        </w:rPr>
      </w:pPr>
      <w:r w:rsidRPr="00067CE7">
        <w:rPr>
          <w:b/>
          <w:bCs/>
          <w:i/>
          <w:iCs/>
          <w:lang w:val="fr-FR"/>
        </w:rPr>
        <w:t>Cela met le CSNPH en grande difficulté dans la réalisation des missions liées à sa fonction consultative. Très concrètement, les délais réglementaires prévus pour la remise de ses avis devront être allongés.</w:t>
      </w:r>
    </w:p>
    <w:p w14:paraId="08A7F563" w14:textId="77777777" w:rsidR="00FB573D" w:rsidRDefault="00FB573D"/>
    <w:p w14:paraId="2E7D7CE1" w14:textId="3950E6F5" w:rsidR="007A44D9" w:rsidRDefault="00DA7478" w:rsidP="00E20CA8">
      <w:pPr>
        <w:jc w:val="both"/>
      </w:pPr>
      <w:r>
        <w:t>Avis n° 20</w:t>
      </w:r>
      <w:r w:rsidR="00672A63">
        <w:t>2</w:t>
      </w:r>
      <w:r w:rsidR="00F313B5">
        <w:t>5</w:t>
      </w:r>
      <w:r w:rsidR="00FB573D">
        <w:t>/</w:t>
      </w:r>
      <w:r w:rsidR="00571D39">
        <w:t>30</w:t>
      </w:r>
      <w:r w:rsidR="00FB573D">
        <w:t xml:space="preserve"> </w:t>
      </w:r>
      <w:r w:rsidR="00E20CA8">
        <w:t>du</w:t>
      </w:r>
      <w:r w:rsidR="00E20CA8" w:rsidRPr="00E20CA8">
        <w:t xml:space="preserve"> Conseil Supérieur National des Personnes Handicapées (CSNPH) </w:t>
      </w:r>
      <w:r w:rsidR="00A83CDC">
        <w:t xml:space="preserve">relatif à </w:t>
      </w:r>
      <w:r w:rsidR="00571D39">
        <w:t>la réforme des pensions</w:t>
      </w:r>
      <w:r w:rsidR="00E20CA8">
        <w:t xml:space="preserve"> </w:t>
      </w:r>
    </w:p>
    <w:p w14:paraId="0D21CE64" w14:textId="5949480C" w:rsidR="00A83CDC" w:rsidRDefault="00E20CA8" w:rsidP="00A83CDC">
      <w:pPr>
        <w:jc w:val="both"/>
      </w:pPr>
      <w:r w:rsidRPr="00E20CA8">
        <w:t xml:space="preserve">rendu </w:t>
      </w:r>
      <w:r w:rsidR="00A83CDC">
        <w:t xml:space="preserve">en séance </w:t>
      </w:r>
      <w:r>
        <w:t xml:space="preserve">plénière </w:t>
      </w:r>
      <w:r w:rsidR="00A83CDC">
        <w:t xml:space="preserve">du </w:t>
      </w:r>
      <w:r w:rsidR="00571D39">
        <w:t>17</w:t>
      </w:r>
      <w:r w:rsidR="00A83CDC">
        <w:t>/</w:t>
      </w:r>
      <w:r w:rsidR="00571D39">
        <w:t>11</w:t>
      </w:r>
      <w:r w:rsidR="00A83CDC">
        <w:t>/20</w:t>
      </w:r>
      <w:r w:rsidR="00672A63">
        <w:t>2</w:t>
      </w:r>
      <w:r w:rsidR="00571D39">
        <w:t>5</w:t>
      </w:r>
      <w:r>
        <w:t>.</w:t>
      </w:r>
    </w:p>
    <w:p w14:paraId="07D6568D" w14:textId="77777777" w:rsidR="00571D39" w:rsidRDefault="00571D39" w:rsidP="00A83CDC">
      <w:pPr>
        <w:jc w:val="both"/>
      </w:pPr>
    </w:p>
    <w:p w14:paraId="27602498" w14:textId="1368886D" w:rsidR="00A83CDC" w:rsidRDefault="00A83CDC" w:rsidP="00571D39">
      <w:pPr>
        <w:jc w:val="both"/>
      </w:pPr>
      <w:r>
        <w:t xml:space="preserve">Avis rendu </w:t>
      </w:r>
      <w:r w:rsidR="002C28DD">
        <w:t>d</w:t>
      </w:r>
      <w:r>
        <w:t xml:space="preserve">’initiative par le </w:t>
      </w:r>
      <w:r w:rsidR="006224F1">
        <w:t>CSNPH</w:t>
      </w:r>
      <w:r w:rsidR="00CC379D">
        <w:t>.</w:t>
      </w:r>
    </w:p>
    <w:p w14:paraId="01D173CE" w14:textId="77777777" w:rsidR="00A83CDC" w:rsidRDefault="00A83CDC" w:rsidP="00A83CDC">
      <w:pPr>
        <w:ind w:left="720"/>
        <w:jc w:val="both"/>
      </w:pPr>
    </w:p>
    <w:p w14:paraId="5B546812" w14:textId="77777777" w:rsidR="00A83CDC" w:rsidRDefault="00A83CDC" w:rsidP="00A83CDC">
      <w:pPr>
        <w:ind w:left="720"/>
        <w:jc w:val="both"/>
      </w:pPr>
    </w:p>
    <w:p w14:paraId="50296A42" w14:textId="77777777" w:rsidR="00A83CDC" w:rsidRDefault="00A83CDC" w:rsidP="00A83CDC">
      <w:pPr>
        <w:ind w:left="720"/>
        <w:jc w:val="both"/>
      </w:pPr>
    </w:p>
    <w:p w14:paraId="5FDE5026" w14:textId="77777777" w:rsidR="00A8661A" w:rsidRDefault="00A8661A" w:rsidP="00A8661A">
      <w:pPr>
        <w:numPr>
          <w:ilvl w:val="0"/>
          <w:numId w:val="2"/>
        </w:numPr>
        <w:jc w:val="both"/>
        <w:outlineLvl w:val="0"/>
        <w:rPr>
          <w:b/>
          <w:u w:val="single"/>
        </w:rPr>
      </w:pPr>
      <w:r>
        <w:rPr>
          <w:b/>
          <w:u w:val="single"/>
        </w:rPr>
        <w:t xml:space="preserve">AVIS </w:t>
      </w:r>
      <w:r w:rsidR="004B2938">
        <w:rPr>
          <w:b/>
          <w:u w:val="single"/>
        </w:rPr>
        <w:t xml:space="preserve">DESTINÉ </w:t>
      </w:r>
    </w:p>
    <w:p w14:paraId="6EB5AA67" w14:textId="77777777" w:rsidR="00A8661A" w:rsidRDefault="00A8661A" w:rsidP="00A8661A">
      <w:pPr>
        <w:jc w:val="both"/>
        <w:rPr>
          <w:b/>
          <w:u w:val="single"/>
        </w:rPr>
      </w:pPr>
    </w:p>
    <w:p w14:paraId="4A572123" w14:textId="123079DF" w:rsidR="00A8661A" w:rsidRPr="006224F1" w:rsidRDefault="00A8661A" w:rsidP="00A8661A">
      <w:pPr>
        <w:numPr>
          <w:ilvl w:val="1"/>
          <w:numId w:val="2"/>
        </w:numPr>
        <w:jc w:val="both"/>
        <w:outlineLvl w:val="1"/>
        <w:rPr>
          <w:b/>
          <w:u w:val="single"/>
        </w:rPr>
      </w:pPr>
      <w:r>
        <w:t xml:space="preserve">Pour suite utile à </w:t>
      </w:r>
      <w:r w:rsidR="00F313B5" w:rsidRPr="00F313B5">
        <w:t>Monsieur Rob Beenders, ministre de la Protection des consommateurs, de la Lutte contre la Fraude sociale, des Personnes handicapées et de l’Egalité des chances</w:t>
      </w:r>
    </w:p>
    <w:p w14:paraId="0B9F0EF7" w14:textId="0C626118" w:rsidR="00A8661A" w:rsidRDefault="00A8661A" w:rsidP="00A8661A">
      <w:pPr>
        <w:numPr>
          <w:ilvl w:val="1"/>
          <w:numId w:val="2"/>
        </w:numPr>
        <w:jc w:val="both"/>
        <w:outlineLvl w:val="1"/>
      </w:pPr>
      <w:bookmarkStart w:id="0" w:name="_Hlk197359378"/>
      <w:r w:rsidRPr="006224F1">
        <w:t xml:space="preserve">Pour information à </w:t>
      </w:r>
      <w:r w:rsidR="00F313B5" w:rsidRPr="00F313B5">
        <w:t xml:space="preserve">Monsieur </w:t>
      </w:r>
      <w:r w:rsidR="00571D39">
        <w:t>Jan Jambon</w:t>
      </w:r>
      <w:r w:rsidR="00F313B5" w:rsidRPr="00F313B5">
        <w:t xml:space="preserve">, Vice-premier ministre et ministre des </w:t>
      </w:r>
      <w:r w:rsidR="00571D39">
        <w:t>Pensions</w:t>
      </w:r>
    </w:p>
    <w:bookmarkEnd w:id="0"/>
    <w:p w14:paraId="79E01E99" w14:textId="2041B756" w:rsidR="00F313B5" w:rsidRDefault="00F313B5" w:rsidP="00F313B5">
      <w:pPr>
        <w:numPr>
          <w:ilvl w:val="1"/>
          <w:numId w:val="2"/>
        </w:numPr>
        <w:jc w:val="both"/>
        <w:outlineLvl w:val="1"/>
      </w:pPr>
      <w:r w:rsidRPr="006224F1">
        <w:t xml:space="preserve">Pour information à </w:t>
      </w:r>
      <w:r w:rsidRPr="00F313B5">
        <w:t>Monsieur Bart De Wever, Premier ministre</w:t>
      </w:r>
    </w:p>
    <w:p w14:paraId="700DC5A3" w14:textId="77777777" w:rsidR="00A8661A" w:rsidRPr="006A0862" w:rsidRDefault="00A8661A" w:rsidP="00A8661A">
      <w:pPr>
        <w:numPr>
          <w:ilvl w:val="1"/>
          <w:numId w:val="2"/>
        </w:numPr>
        <w:jc w:val="both"/>
        <w:outlineLvl w:val="1"/>
      </w:pPr>
      <w:r w:rsidRPr="006A0862">
        <w:t xml:space="preserve">Pour information à </w:t>
      </w:r>
      <w:proofErr w:type="spellStart"/>
      <w:r w:rsidRPr="006A0862">
        <w:t>U</w:t>
      </w:r>
      <w:r>
        <w:t>nia</w:t>
      </w:r>
      <w:proofErr w:type="spellEnd"/>
      <w:r w:rsidRPr="006A0862">
        <w:t xml:space="preserve"> </w:t>
      </w:r>
    </w:p>
    <w:p w14:paraId="5B63E8FC" w14:textId="77777777" w:rsidR="00A8661A" w:rsidRDefault="00A8661A" w:rsidP="00A8661A">
      <w:pPr>
        <w:numPr>
          <w:ilvl w:val="1"/>
          <w:numId w:val="2"/>
        </w:numPr>
        <w:jc w:val="both"/>
        <w:outlineLvl w:val="1"/>
      </w:pPr>
      <w:r w:rsidRPr="006A0862">
        <w:t>Pour information au M</w:t>
      </w:r>
      <w:r w:rsidRPr="006A0862">
        <w:rPr>
          <w:rFonts w:cs="Verdana"/>
        </w:rPr>
        <w:t>é</w:t>
      </w:r>
      <w:r w:rsidRPr="006A0862">
        <w:t>canisme de Coordination de l</w:t>
      </w:r>
      <w:r w:rsidRPr="006A0862">
        <w:rPr>
          <w:rFonts w:cs="Verdana"/>
        </w:rPr>
        <w:t>’</w:t>
      </w:r>
      <w:r w:rsidRPr="006A0862">
        <w:t>UNCRPD</w:t>
      </w:r>
    </w:p>
    <w:p w14:paraId="22EE059B" w14:textId="77777777" w:rsidR="00A8661A" w:rsidRDefault="00A8661A" w:rsidP="00A8661A">
      <w:pPr>
        <w:numPr>
          <w:ilvl w:val="1"/>
          <w:numId w:val="2"/>
        </w:numPr>
        <w:jc w:val="both"/>
        <w:outlineLvl w:val="1"/>
      </w:pPr>
      <w:r>
        <w:t>Pour information au Médiateur fédéral</w:t>
      </w:r>
    </w:p>
    <w:p w14:paraId="5472B994" w14:textId="2F6560E0" w:rsidR="00147942" w:rsidRDefault="00147942" w:rsidP="00A8661A">
      <w:pPr>
        <w:numPr>
          <w:ilvl w:val="1"/>
          <w:numId w:val="2"/>
        </w:numPr>
        <w:jc w:val="both"/>
        <w:outlineLvl w:val="1"/>
      </w:pPr>
      <w:r>
        <w:t xml:space="preserve">Pour information au Médiateur </w:t>
      </w:r>
      <w:r w:rsidR="00571D39">
        <w:t xml:space="preserve">des Pensions </w:t>
      </w:r>
    </w:p>
    <w:p w14:paraId="2059E107" w14:textId="77777777" w:rsidR="00A8661A" w:rsidRDefault="00A8661A" w:rsidP="00A8661A">
      <w:pPr>
        <w:ind w:left="360"/>
        <w:jc w:val="both"/>
        <w:outlineLvl w:val="0"/>
        <w:rPr>
          <w:b/>
        </w:rPr>
      </w:pPr>
    </w:p>
    <w:p w14:paraId="331A9B97" w14:textId="77777777" w:rsidR="00A8661A" w:rsidRPr="00A8661A" w:rsidRDefault="00A8661A" w:rsidP="00A8661A">
      <w:pPr>
        <w:ind w:left="360"/>
        <w:jc w:val="both"/>
        <w:outlineLvl w:val="0"/>
        <w:rPr>
          <w:b/>
        </w:rPr>
      </w:pPr>
    </w:p>
    <w:p w14:paraId="1ECFC5BA" w14:textId="77777777" w:rsidR="00267DCF" w:rsidRPr="00267DCF" w:rsidRDefault="00A83CDC" w:rsidP="0073760D">
      <w:pPr>
        <w:numPr>
          <w:ilvl w:val="0"/>
          <w:numId w:val="2"/>
        </w:numPr>
        <w:jc w:val="both"/>
        <w:outlineLvl w:val="0"/>
        <w:rPr>
          <w:b/>
        </w:rPr>
      </w:pPr>
      <w:r>
        <w:rPr>
          <w:b/>
          <w:u w:val="single"/>
        </w:rPr>
        <w:t xml:space="preserve">OBJET </w:t>
      </w:r>
    </w:p>
    <w:p w14:paraId="23E12A31" w14:textId="77777777" w:rsidR="00267DCF" w:rsidRDefault="00267DCF" w:rsidP="00267DCF">
      <w:pPr>
        <w:jc w:val="both"/>
        <w:rPr>
          <w:bCs/>
        </w:rPr>
      </w:pPr>
    </w:p>
    <w:p w14:paraId="48A891C3" w14:textId="3275E803" w:rsidR="000A170C" w:rsidRPr="00364805" w:rsidRDefault="000A170C" w:rsidP="000A170C">
      <w:pPr>
        <w:ind w:left="360"/>
        <w:jc w:val="both"/>
        <w:rPr>
          <w:bCs/>
        </w:rPr>
      </w:pPr>
      <w:r>
        <w:rPr>
          <w:bCs/>
        </w:rPr>
        <w:lastRenderedPageBreak/>
        <w:t xml:space="preserve">Suite de l’accord de l’été 2025 – réforme des pension et mise en place d’un malus pour carrières incomplètes </w:t>
      </w:r>
    </w:p>
    <w:p w14:paraId="101C676E" w14:textId="7B4861AE" w:rsidR="00267DCF" w:rsidRDefault="00A44465" w:rsidP="00267DCF">
      <w:pPr>
        <w:jc w:val="both"/>
        <w:rPr>
          <w:b/>
          <w:u w:val="single"/>
        </w:rPr>
      </w:pPr>
      <w:r>
        <w:rPr>
          <w:b/>
          <w:u w:val="single"/>
        </w:rPr>
        <w:t xml:space="preserve">              </w:t>
      </w:r>
    </w:p>
    <w:p w14:paraId="5E19351F" w14:textId="77777777" w:rsidR="00A44465" w:rsidRDefault="00A44465" w:rsidP="00267DCF">
      <w:pPr>
        <w:jc w:val="both"/>
        <w:rPr>
          <w:b/>
          <w:u w:val="single"/>
        </w:rPr>
      </w:pPr>
    </w:p>
    <w:p w14:paraId="1E188B23" w14:textId="77777777" w:rsidR="00A44465" w:rsidRDefault="00A44465" w:rsidP="00267DCF">
      <w:pPr>
        <w:jc w:val="both"/>
        <w:rPr>
          <w:b/>
          <w:u w:val="single"/>
        </w:rPr>
      </w:pPr>
    </w:p>
    <w:p w14:paraId="2CB8A155" w14:textId="77777777" w:rsidR="00A83CDC" w:rsidRPr="00AB74EE" w:rsidRDefault="00ED59D4" w:rsidP="0073760D">
      <w:pPr>
        <w:numPr>
          <w:ilvl w:val="0"/>
          <w:numId w:val="2"/>
        </w:numPr>
        <w:jc w:val="both"/>
        <w:outlineLvl w:val="0"/>
        <w:rPr>
          <w:b/>
        </w:rPr>
      </w:pPr>
      <w:r>
        <w:rPr>
          <w:b/>
          <w:u w:val="single"/>
        </w:rPr>
        <w:t>ANALYSE</w:t>
      </w:r>
      <w:r w:rsidR="00267DCF">
        <w:rPr>
          <w:b/>
          <w:u w:val="single"/>
        </w:rPr>
        <w:t xml:space="preserve">  </w:t>
      </w:r>
    </w:p>
    <w:p w14:paraId="42120076" w14:textId="1D123FFA" w:rsidR="00AB74EE" w:rsidRDefault="00AB74EE" w:rsidP="00AB74EE">
      <w:pPr>
        <w:jc w:val="both"/>
        <w:outlineLvl w:val="0"/>
        <w:rPr>
          <w:b/>
          <w:u w:val="single"/>
        </w:rPr>
      </w:pPr>
    </w:p>
    <w:p w14:paraId="32AA0DFF" w14:textId="77777777" w:rsidR="007250B6" w:rsidRPr="00A14B16" w:rsidRDefault="007250B6" w:rsidP="007250B6">
      <w:pPr>
        <w:jc w:val="both"/>
        <w:rPr>
          <w:bCs/>
          <w:lang w:val="nl-NL"/>
        </w:rPr>
      </w:pPr>
    </w:p>
    <w:p w14:paraId="3854F62E" w14:textId="77777777" w:rsidR="00A14B16" w:rsidRDefault="00A14B16" w:rsidP="00A14B16">
      <w:pPr>
        <w:ind w:left="850"/>
        <w:jc w:val="both"/>
        <w:rPr>
          <w:bCs/>
          <w:lang w:val="nl-NL"/>
        </w:rPr>
      </w:pPr>
    </w:p>
    <w:p w14:paraId="7363146D" w14:textId="04B65BCD" w:rsidR="00667DF5" w:rsidRPr="00667DF5" w:rsidRDefault="00667DF5" w:rsidP="000A170C">
      <w:pPr>
        <w:numPr>
          <w:ilvl w:val="0"/>
          <w:numId w:val="4"/>
        </w:numPr>
        <w:jc w:val="both"/>
        <w:rPr>
          <w:bCs/>
        </w:rPr>
      </w:pPr>
      <w:r>
        <w:rPr>
          <w:b/>
          <w:u w:val="single"/>
        </w:rPr>
        <w:t>L’a</w:t>
      </w:r>
      <w:r w:rsidR="00406A25">
        <w:rPr>
          <w:b/>
          <w:u w:val="single"/>
        </w:rPr>
        <w:t xml:space="preserve">ccord du gouvernement du 31.01.2025 </w:t>
      </w:r>
      <w:r w:rsidRPr="00667DF5">
        <w:rPr>
          <w:bCs/>
        </w:rPr>
        <w:t>prévoyait</w:t>
      </w:r>
      <w:r w:rsidR="00406A25" w:rsidRPr="00667DF5">
        <w:rPr>
          <w:bCs/>
        </w:rPr>
        <w:t xml:space="preserve"> </w:t>
      </w:r>
      <w:r w:rsidRPr="00667DF5">
        <w:rPr>
          <w:bCs/>
        </w:rPr>
        <w:t xml:space="preserve">une </w:t>
      </w:r>
      <w:hyperlink r:id="rId6" w:history="1">
        <w:r w:rsidRPr="00667DF5">
          <w:rPr>
            <w:rStyle w:val="Lienhypertexte"/>
            <w:bCs/>
            <w:u w:val="none"/>
          </w:rPr>
          <w:t>réforme profonde du régime des pensions</w:t>
        </w:r>
      </w:hyperlink>
      <w:r w:rsidRPr="00667DF5">
        <w:rPr>
          <w:bCs/>
        </w:rPr>
        <w:t xml:space="preserve">, notamment en revalorisant le travail effectif dans le calcul de la pension. Les périodes d’interruption et de suspension de carrière </w:t>
      </w:r>
      <w:r>
        <w:rPr>
          <w:bCs/>
        </w:rPr>
        <w:t xml:space="preserve">précédemment assimilées pour le calcul de la pension ne seraient plus </w:t>
      </w:r>
      <w:r w:rsidRPr="00667DF5">
        <w:rPr>
          <w:bCs/>
        </w:rPr>
        <w:t xml:space="preserve">comptabilisées que de manière spécifique et exceptionnelle </w:t>
      </w:r>
    </w:p>
    <w:p w14:paraId="39F5853E" w14:textId="77777777" w:rsidR="00667DF5" w:rsidRPr="00667DF5" w:rsidRDefault="00667DF5" w:rsidP="00667DF5">
      <w:pPr>
        <w:ind w:left="720"/>
        <w:jc w:val="both"/>
        <w:rPr>
          <w:bCs/>
          <w:u w:val="single"/>
        </w:rPr>
      </w:pPr>
    </w:p>
    <w:p w14:paraId="6C46A12A" w14:textId="77777777" w:rsidR="00667DF5" w:rsidRDefault="00667DF5" w:rsidP="00667DF5">
      <w:pPr>
        <w:ind w:left="720"/>
        <w:jc w:val="both"/>
        <w:rPr>
          <w:b/>
          <w:u w:val="single"/>
        </w:rPr>
      </w:pPr>
    </w:p>
    <w:p w14:paraId="3B6F4CCC" w14:textId="297B2437" w:rsidR="000A170C" w:rsidRPr="000A170C" w:rsidRDefault="000A170C" w:rsidP="000A170C">
      <w:pPr>
        <w:numPr>
          <w:ilvl w:val="0"/>
          <w:numId w:val="4"/>
        </w:numPr>
        <w:jc w:val="both"/>
        <w:rPr>
          <w:b/>
          <w:u w:val="single"/>
        </w:rPr>
      </w:pPr>
      <w:r w:rsidRPr="000A170C">
        <w:rPr>
          <w:b/>
          <w:u w:val="single"/>
        </w:rPr>
        <w:t>Rencontre avec le Cabinet Jambon le 25.</w:t>
      </w:r>
      <w:r>
        <w:rPr>
          <w:b/>
          <w:u w:val="single"/>
        </w:rPr>
        <w:t>09.2025</w:t>
      </w:r>
    </w:p>
    <w:p w14:paraId="6473C874" w14:textId="77777777" w:rsidR="000A170C" w:rsidRPr="00357EE0" w:rsidRDefault="000A170C" w:rsidP="000A170C">
      <w:pPr>
        <w:numPr>
          <w:ilvl w:val="0"/>
          <w:numId w:val="19"/>
        </w:numPr>
        <w:spacing w:before="100" w:beforeAutospacing="1" w:after="100" w:afterAutospacing="1"/>
      </w:pPr>
      <w:r w:rsidRPr="00357EE0">
        <w:t xml:space="preserve">Le régime de pension pour un  départ à la retraite à l’âge légal à la pension ( 67) avec une carrière complète (42 ans) n’est pas modifié </w:t>
      </w:r>
    </w:p>
    <w:p w14:paraId="48DDE747" w14:textId="77777777" w:rsidR="000A170C" w:rsidRPr="00357EE0" w:rsidRDefault="000A170C" w:rsidP="000A170C">
      <w:pPr>
        <w:spacing w:before="100" w:beforeAutospacing="1" w:after="100" w:afterAutospacing="1"/>
        <w:ind w:left="720"/>
      </w:pPr>
      <w:r w:rsidRPr="00357EE0">
        <w:t>P</w:t>
      </w:r>
      <w:r w:rsidRPr="008A2E5C">
        <w:t xml:space="preserve">artir à la retraite </w:t>
      </w:r>
      <w:r w:rsidRPr="008A2E5C">
        <w:rPr>
          <w:b/>
          <w:bCs/>
        </w:rPr>
        <w:t>avant</w:t>
      </w:r>
      <w:r w:rsidRPr="008A2E5C">
        <w:t xml:space="preserve"> l’âge légal</w:t>
      </w:r>
      <w:r w:rsidRPr="00357EE0">
        <w:t xml:space="preserve"> entrainera </w:t>
      </w:r>
      <w:r w:rsidRPr="008A2E5C">
        <w:t xml:space="preserve">, un malus, sauf si certaines conditions de carrière sont remplies. </w:t>
      </w:r>
    </w:p>
    <w:p w14:paraId="03FE602B" w14:textId="77777777" w:rsidR="000A170C" w:rsidRDefault="000A170C" w:rsidP="000A170C">
      <w:pPr>
        <w:spacing w:before="100" w:beforeAutospacing="1" w:after="100" w:afterAutospacing="1"/>
        <w:ind w:left="720"/>
      </w:pPr>
      <w:r w:rsidRPr="00357EE0">
        <w:t>En d’autres termes, seuls l</w:t>
      </w:r>
      <w:r w:rsidRPr="008A2E5C">
        <w:t>es travailleurs qui n’ont pas pu faire 35 années complètes ou accumuler les 7020 jours de travail effectif seraient touchés par les malus.</w:t>
      </w:r>
    </w:p>
    <w:p w14:paraId="599D906C" w14:textId="77777777" w:rsidR="000A170C" w:rsidRPr="008A2E5C" w:rsidRDefault="000A170C" w:rsidP="000A170C">
      <w:pPr>
        <w:numPr>
          <w:ilvl w:val="0"/>
          <w:numId w:val="19"/>
        </w:numPr>
        <w:spacing w:before="100" w:beforeAutospacing="1" w:after="100" w:afterAutospacing="1"/>
      </w:pPr>
      <w:r w:rsidRPr="000A170C">
        <w:rPr>
          <w:b/>
          <w:bCs/>
        </w:rPr>
        <w:t>Conditions pour échapper au malus</w:t>
      </w:r>
    </w:p>
    <w:p w14:paraId="0CBA6FDB" w14:textId="77777777" w:rsidR="000A170C" w:rsidRPr="004234E7" w:rsidRDefault="000A170C" w:rsidP="000A170C">
      <w:pPr>
        <w:numPr>
          <w:ilvl w:val="1"/>
          <w:numId w:val="18"/>
        </w:numPr>
        <w:spacing w:before="100" w:beforeAutospacing="1" w:after="100" w:afterAutospacing="1"/>
      </w:pPr>
      <w:r w:rsidRPr="008A2E5C">
        <w:t xml:space="preserve">Pour éviter la pénalité en cas de retraite anticipée, il faudra justifier de </w:t>
      </w:r>
      <w:r w:rsidRPr="008A2E5C">
        <w:rPr>
          <w:b/>
          <w:bCs/>
        </w:rPr>
        <w:t>35 années de carrière</w:t>
      </w:r>
      <w:r w:rsidRPr="008A2E5C">
        <w:t xml:space="preserve"> avec </w:t>
      </w:r>
      <w:r w:rsidRPr="008A2E5C">
        <w:rPr>
          <w:b/>
          <w:bCs/>
        </w:rPr>
        <w:t>156 jours de travail effectif</w:t>
      </w:r>
      <w:r w:rsidRPr="008A2E5C">
        <w:t xml:space="preserve"> </w:t>
      </w:r>
      <w:r w:rsidRPr="008A2E5C">
        <w:rPr>
          <w:b/>
          <w:bCs/>
        </w:rPr>
        <w:t>ou assimilé</w:t>
      </w:r>
      <w:r w:rsidRPr="008A2E5C">
        <w:t xml:space="preserve"> par an, ou </w:t>
      </w:r>
      <w:r w:rsidRPr="008A2E5C">
        <w:rPr>
          <w:b/>
          <w:bCs/>
        </w:rPr>
        <w:t>7020 jours de travail effectif</w:t>
      </w:r>
      <w:r w:rsidRPr="008A2E5C">
        <w:t xml:space="preserve"> au total</w:t>
      </w:r>
    </w:p>
    <w:p w14:paraId="6761D842" w14:textId="77777777" w:rsidR="000A170C" w:rsidRPr="00357EE0" w:rsidRDefault="000A170C" w:rsidP="000A170C">
      <w:pPr>
        <w:numPr>
          <w:ilvl w:val="1"/>
          <w:numId w:val="18"/>
        </w:numPr>
        <w:spacing w:before="100" w:beforeAutospacing="1" w:after="100" w:afterAutospacing="1"/>
      </w:pPr>
      <w:r w:rsidRPr="00357EE0">
        <w:t>les</w:t>
      </w:r>
      <w:r w:rsidRPr="008A2E5C">
        <w:t xml:space="preserve"> périodes assimilées </w:t>
      </w:r>
      <w:r w:rsidRPr="00357EE0">
        <w:t xml:space="preserve"> telle que la </w:t>
      </w:r>
      <w:r w:rsidRPr="008A2E5C">
        <w:t>maternité, crédit-soins, etc.</w:t>
      </w:r>
      <w:r w:rsidRPr="00357EE0">
        <w:t xml:space="preserve"> seront aussi prises en compte dans les 7.020 jours .</w:t>
      </w:r>
    </w:p>
    <w:p w14:paraId="2FB2428E" w14:textId="77777777" w:rsidR="000A170C" w:rsidRDefault="000A170C" w:rsidP="000A170C">
      <w:pPr>
        <w:numPr>
          <w:ilvl w:val="1"/>
          <w:numId w:val="18"/>
        </w:numPr>
        <w:spacing w:before="100" w:beforeAutospacing="1" w:after="100" w:afterAutospacing="1"/>
      </w:pPr>
      <w:r w:rsidRPr="00357EE0">
        <w:t xml:space="preserve">une assimilation est possible uniquement quand il y a eu reprise de travail après incapacité ; cette reprise peut se faire à temps partiel </w:t>
      </w:r>
    </w:p>
    <w:p w14:paraId="44B2B705" w14:textId="579405DA" w:rsidR="000A170C" w:rsidRPr="000A170C" w:rsidRDefault="000A170C" w:rsidP="000A170C">
      <w:pPr>
        <w:numPr>
          <w:ilvl w:val="0"/>
          <w:numId w:val="19"/>
        </w:numPr>
        <w:spacing w:before="100" w:beforeAutospacing="1" w:after="100" w:afterAutospacing="1"/>
        <w:rPr>
          <w:b/>
          <w:bCs/>
        </w:rPr>
      </w:pPr>
      <w:r w:rsidRPr="000A170C">
        <w:rPr>
          <w:b/>
          <w:bCs/>
        </w:rPr>
        <w:t xml:space="preserve">Sur interpellation , plusieurs questions néanmoins restées sans réponse </w:t>
      </w:r>
    </w:p>
    <w:p w14:paraId="56A3D327" w14:textId="1070712E" w:rsidR="000A170C" w:rsidRPr="000A170C" w:rsidRDefault="000A170C" w:rsidP="000A170C">
      <w:pPr>
        <w:numPr>
          <w:ilvl w:val="1"/>
          <w:numId w:val="18"/>
        </w:numPr>
        <w:spacing w:before="100" w:beforeAutospacing="1" w:after="100" w:afterAutospacing="1"/>
      </w:pPr>
      <w:r w:rsidRPr="000A170C">
        <w:t>Les assimilations :</w:t>
      </w:r>
    </w:p>
    <w:p w14:paraId="65E85A0E" w14:textId="504B7FE6" w:rsidR="000A170C" w:rsidRPr="00357EE0" w:rsidRDefault="000A170C" w:rsidP="000A170C">
      <w:pPr>
        <w:numPr>
          <w:ilvl w:val="2"/>
          <w:numId w:val="18"/>
        </w:numPr>
        <w:spacing w:before="100" w:beforeAutospacing="1" w:after="100" w:afterAutospacing="1"/>
      </w:pPr>
      <w:r w:rsidRPr="00357EE0">
        <w:t xml:space="preserve"> une assimilation des jours non prestés est</w:t>
      </w:r>
      <w:r>
        <w:t>-elle</w:t>
      </w:r>
      <w:r w:rsidRPr="00357EE0">
        <w:t xml:space="preserve"> envisagée pour les personnes qui ont une AI</w:t>
      </w:r>
      <w:r>
        <w:t xml:space="preserve"> ? </w:t>
      </w:r>
      <w:r w:rsidRPr="00357EE0">
        <w:t xml:space="preserve">  </w:t>
      </w:r>
    </w:p>
    <w:p w14:paraId="5D50B3E9" w14:textId="77777777" w:rsidR="000A170C" w:rsidRPr="00357EE0" w:rsidRDefault="000A170C" w:rsidP="000A170C">
      <w:pPr>
        <w:numPr>
          <w:ilvl w:val="2"/>
          <w:numId w:val="18"/>
        </w:numPr>
        <w:spacing w:before="100" w:beforeAutospacing="1" w:after="100" w:afterAutospacing="1"/>
      </w:pPr>
      <w:r w:rsidRPr="00357EE0">
        <w:t xml:space="preserve">Autres assimilations ? quelles sont-elles ? </w:t>
      </w:r>
    </w:p>
    <w:p w14:paraId="4DC77C9F" w14:textId="77777777" w:rsidR="000A170C" w:rsidRPr="00357EE0" w:rsidRDefault="000A170C" w:rsidP="000A170C">
      <w:pPr>
        <w:numPr>
          <w:ilvl w:val="1"/>
          <w:numId w:val="18"/>
        </w:numPr>
        <w:spacing w:before="100" w:beforeAutospacing="1" w:after="100" w:afterAutospacing="1"/>
      </w:pPr>
      <w:r w:rsidRPr="00357EE0">
        <w:t xml:space="preserve">Quid des personnes qui n’ont pas repris le travail ? </w:t>
      </w:r>
    </w:p>
    <w:p w14:paraId="7904BB8C" w14:textId="77777777" w:rsidR="000A170C" w:rsidRPr="00357EE0" w:rsidRDefault="000A170C" w:rsidP="000A170C">
      <w:pPr>
        <w:numPr>
          <w:ilvl w:val="2"/>
          <w:numId w:val="18"/>
        </w:numPr>
        <w:spacing w:before="100" w:beforeAutospacing="1" w:after="100" w:afterAutospacing="1"/>
      </w:pPr>
      <w:r w:rsidRPr="00357EE0">
        <w:t>parce que la santé ne leur a pas permis de la faire</w:t>
      </w:r>
    </w:p>
    <w:p w14:paraId="459BD741" w14:textId="77777777" w:rsidR="000A170C" w:rsidRPr="00357EE0" w:rsidRDefault="000A170C" w:rsidP="000A170C">
      <w:pPr>
        <w:numPr>
          <w:ilvl w:val="2"/>
          <w:numId w:val="18"/>
        </w:numPr>
        <w:spacing w:before="100" w:beforeAutospacing="1" w:after="100" w:afterAutospacing="1"/>
      </w:pPr>
      <w:r w:rsidRPr="00357EE0">
        <w:lastRenderedPageBreak/>
        <w:t xml:space="preserve">parce qu’elles étaient sous stage ou CDD lorsque la maladie s’est déclarée </w:t>
      </w:r>
    </w:p>
    <w:p w14:paraId="7072AB04" w14:textId="77777777" w:rsidR="000A170C" w:rsidRDefault="000A170C" w:rsidP="000A170C">
      <w:pPr>
        <w:numPr>
          <w:ilvl w:val="1"/>
          <w:numId w:val="18"/>
        </w:numPr>
        <w:spacing w:before="100" w:beforeAutospacing="1" w:after="100" w:afterAutospacing="1"/>
      </w:pPr>
      <w:r w:rsidRPr="00357EE0">
        <w:t xml:space="preserve">La clé de l’assimilation dans les banques de données : la remise au travail par le Médecin-conseil ? par le médecin du travail ? autre ? </w:t>
      </w:r>
    </w:p>
    <w:p w14:paraId="2ACD2025" w14:textId="7B34601E" w:rsidR="000A170C" w:rsidRPr="000A170C" w:rsidRDefault="000A170C" w:rsidP="000A170C">
      <w:pPr>
        <w:pStyle w:val="Paragraphedeliste"/>
        <w:numPr>
          <w:ilvl w:val="1"/>
          <w:numId w:val="18"/>
        </w:numPr>
        <w:spacing w:before="100" w:beforeAutospacing="1" w:after="100" w:afterAutospacing="1" w:line="240" w:lineRule="auto"/>
        <w:rPr>
          <w:rFonts w:ascii="Verdana" w:eastAsia="Times New Roman" w:hAnsi="Verdana" w:cs="Times New Roman"/>
          <w:kern w:val="0"/>
          <w:sz w:val="22"/>
          <w:lang w:val="fr-BE" w:eastAsia="en-GB"/>
          <w14:ligatures w14:val="none"/>
        </w:rPr>
      </w:pPr>
      <w:r w:rsidRPr="000A170C">
        <w:rPr>
          <w:rFonts w:ascii="Verdana" w:eastAsia="Times New Roman" w:hAnsi="Verdana" w:cs="Times New Roman"/>
          <w:kern w:val="0"/>
          <w:sz w:val="22"/>
          <w:lang w:val="fr-BE" w:eastAsia="en-GB"/>
          <w14:ligatures w14:val="none"/>
        </w:rPr>
        <w:t xml:space="preserve">La prise en compte de la réalité de travail des  aidants proches : carrières incomplètes mais sans rentrer dans le champ des assimilations </w:t>
      </w:r>
    </w:p>
    <w:p w14:paraId="01017789" w14:textId="77777777" w:rsidR="000A170C" w:rsidRDefault="000A170C" w:rsidP="00406A25">
      <w:pPr>
        <w:ind w:left="850"/>
        <w:jc w:val="both"/>
        <w:rPr>
          <w:bCs/>
          <w:lang w:val="nl-NL"/>
        </w:rPr>
      </w:pPr>
    </w:p>
    <w:p w14:paraId="2A6F2F36" w14:textId="60C61A41" w:rsidR="00406A25" w:rsidRPr="00406A25" w:rsidRDefault="00406A25" w:rsidP="00406A25">
      <w:pPr>
        <w:numPr>
          <w:ilvl w:val="0"/>
          <w:numId w:val="4"/>
        </w:numPr>
        <w:jc w:val="both"/>
        <w:rPr>
          <w:b/>
          <w:u w:val="single"/>
        </w:rPr>
      </w:pPr>
      <w:r w:rsidRPr="00406A25">
        <w:rPr>
          <w:b/>
          <w:u w:val="single"/>
        </w:rPr>
        <w:t xml:space="preserve">Site du SPF Pensions </w:t>
      </w:r>
    </w:p>
    <w:p w14:paraId="717EE188" w14:textId="77777777" w:rsidR="00406A25" w:rsidRDefault="00406A25" w:rsidP="00406A25">
      <w:pPr>
        <w:pStyle w:val="Paragraphedeliste"/>
        <w:jc w:val="both"/>
        <w:rPr>
          <w:bCs/>
          <w:lang w:val="nl-NL"/>
        </w:rPr>
      </w:pPr>
    </w:p>
    <w:p w14:paraId="694CBC2D" w14:textId="7DBEF18E" w:rsidR="00895480" w:rsidRDefault="00406A25" w:rsidP="00406A25">
      <w:pPr>
        <w:pStyle w:val="Paragraphedeliste"/>
        <w:jc w:val="both"/>
        <w:rPr>
          <w:rFonts w:ascii="Verdana" w:eastAsia="Times New Roman" w:hAnsi="Verdana" w:cs="Times New Roman"/>
          <w:kern w:val="0"/>
          <w:sz w:val="22"/>
          <w:lang w:val="fr-BE" w:eastAsia="en-GB"/>
          <w14:ligatures w14:val="none"/>
        </w:rPr>
      </w:pPr>
      <w:r w:rsidRPr="00667DF5">
        <w:rPr>
          <w:rFonts w:ascii="Verdana" w:eastAsia="Times New Roman" w:hAnsi="Verdana" w:cs="Times New Roman"/>
          <w:kern w:val="0"/>
          <w:sz w:val="22"/>
          <w:lang w:val="fr-BE" w:eastAsia="en-GB"/>
          <w14:ligatures w14:val="none"/>
        </w:rPr>
        <w:t xml:space="preserve">Le SPF Pensions met régulièrement à jour sa page d’accueil . Celle </w:t>
      </w:r>
      <w:hyperlink r:id="rId7" w:anchor="accord-gouvernemental" w:history="1">
        <w:r w:rsidRPr="003B1EB5">
          <w:rPr>
            <w:rStyle w:val="Lienhypertexte"/>
            <w:rFonts w:ascii="Verdana" w:eastAsia="Times New Roman" w:hAnsi="Verdana" w:cs="Times New Roman"/>
            <w:kern w:val="0"/>
            <w:sz w:val="22"/>
            <w:lang w:val="fr-BE" w:eastAsia="en-GB"/>
            <w14:ligatures w14:val="none"/>
          </w:rPr>
          <w:t>publiée au 01.10.2025</w:t>
        </w:r>
      </w:hyperlink>
      <w:r w:rsidRPr="00667DF5">
        <w:rPr>
          <w:rFonts w:ascii="Verdana" w:eastAsia="Times New Roman" w:hAnsi="Verdana" w:cs="Times New Roman"/>
          <w:kern w:val="0"/>
          <w:sz w:val="22"/>
          <w:lang w:val="fr-BE" w:eastAsia="en-GB"/>
          <w14:ligatures w14:val="none"/>
        </w:rPr>
        <w:t xml:space="preserve"> </w:t>
      </w:r>
      <w:r w:rsidR="00895480">
        <w:rPr>
          <w:rFonts w:ascii="Verdana" w:eastAsia="Times New Roman" w:hAnsi="Verdana" w:cs="Times New Roman"/>
          <w:kern w:val="0"/>
          <w:sz w:val="22"/>
          <w:lang w:val="fr-BE" w:eastAsia="en-GB"/>
          <w14:ligatures w14:val="none"/>
        </w:rPr>
        <w:t xml:space="preserve">rappelle </w:t>
      </w:r>
    </w:p>
    <w:p w14:paraId="1C9ECEC6" w14:textId="45E1789B" w:rsidR="00406A25" w:rsidRDefault="00895480" w:rsidP="00895480">
      <w:pPr>
        <w:pStyle w:val="Paragraphedeliste"/>
        <w:numPr>
          <w:ilvl w:val="1"/>
          <w:numId w:val="18"/>
        </w:numPr>
        <w:jc w:val="both"/>
        <w:rPr>
          <w:rFonts w:ascii="Verdana" w:eastAsia="Times New Roman" w:hAnsi="Verdana" w:cs="Times New Roman"/>
          <w:kern w:val="0"/>
          <w:sz w:val="22"/>
          <w:lang w:val="fr-BE" w:eastAsia="en-GB"/>
          <w14:ligatures w14:val="none"/>
        </w:rPr>
      </w:pPr>
      <w:r>
        <w:rPr>
          <w:rFonts w:ascii="Verdana" w:eastAsia="Times New Roman" w:hAnsi="Verdana" w:cs="Times New Roman"/>
          <w:kern w:val="0"/>
          <w:sz w:val="22"/>
          <w:lang w:val="fr-BE" w:eastAsia="en-GB"/>
          <w14:ligatures w14:val="none"/>
        </w:rPr>
        <w:t xml:space="preserve">la prise en compte intégrale des périodes d’absence pour raisons médicales pour le calcul de la </w:t>
      </w:r>
      <w:r w:rsidRPr="00895480">
        <w:rPr>
          <w:rFonts w:ascii="Verdana" w:eastAsia="Times New Roman" w:hAnsi="Verdana" w:cs="Times New Roman"/>
          <w:kern w:val="0"/>
          <w:sz w:val="22"/>
          <w:u w:val="single"/>
          <w:lang w:val="fr-BE" w:eastAsia="en-GB"/>
          <w14:ligatures w14:val="none"/>
        </w:rPr>
        <w:t>pension minimale garantie</w:t>
      </w:r>
      <w:r>
        <w:rPr>
          <w:rFonts w:ascii="Verdana" w:eastAsia="Times New Roman" w:hAnsi="Verdana" w:cs="Times New Roman"/>
          <w:kern w:val="0"/>
          <w:sz w:val="22"/>
          <w:lang w:val="fr-BE" w:eastAsia="en-GB"/>
          <w14:ligatures w14:val="none"/>
        </w:rPr>
        <w:t xml:space="preserve"> à partir de 2026</w:t>
      </w:r>
      <w:r w:rsidR="00406A25" w:rsidRPr="00667DF5">
        <w:rPr>
          <w:rFonts w:ascii="Verdana" w:eastAsia="Times New Roman" w:hAnsi="Verdana" w:cs="Times New Roman"/>
          <w:kern w:val="0"/>
          <w:sz w:val="22"/>
          <w:lang w:val="fr-BE" w:eastAsia="en-GB"/>
          <w14:ligatures w14:val="none"/>
        </w:rPr>
        <w:t xml:space="preserve"> </w:t>
      </w:r>
    </w:p>
    <w:p w14:paraId="17CD7194" w14:textId="0BFA7AEE" w:rsidR="00895480" w:rsidRDefault="00895480" w:rsidP="00895480">
      <w:pPr>
        <w:pStyle w:val="Paragraphedeliste"/>
        <w:numPr>
          <w:ilvl w:val="1"/>
          <w:numId w:val="18"/>
        </w:numPr>
        <w:jc w:val="both"/>
        <w:rPr>
          <w:rFonts w:ascii="Verdana" w:eastAsia="Times New Roman" w:hAnsi="Verdana" w:cs="Times New Roman"/>
          <w:kern w:val="0"/>
          <w:sz w:val="22"/>
          <w:lang w:val="fr-BE" w:eastAsia="en-GB"/>
          <w14:ligatures w14:val="none"/>
        </w:rPr>
      </w:pPr>
      <w:r>
        <w:rPr>
          <w:rFonts w:ascii="Verdana" w:eastAsia="Times New Roman" w:hAnsi="Verdana" w:cs="Times New Roman"/>
          <w:kern w:val="0"/>
          <w:sz w:val="22"/>
          <w:lang w:val="fr-BE" w:eastAsia="en-GB"/>
          <w14:ligatures w14:val="none"/>
        </w:rPr>
        <w:t xml:space="preserve">mais aussi des mesures de pénalité quant à la </w:t>
      </w:r>
      <w:r w:rsidRPr="00895480">
        <w:rPr>
          <w:rFonts w:ascii="Verdana" w:eastAsia="Times New Roman" w:hAnsi="Verdana" w:cs="Times New Roman"/>
          <w:kern w:val="0"/>
          <w:sz w:val="22"/>
          <w:u w:val="single"/>
          <w:lang w:val="fr-BE" w:eastAsia="en-GB"/>
          <w14:ligatures w14:val="none"/>
        </w:rPr>
        <w:t>pension pleine</w:t>
      </w:r>
      <w:r>
        <w:rPr>
          <w:rFonts w:ascii="Verdana" w:eastAsia="Times New Roman" w:hAnsi="Verdana" w:cs="Times New Roman"/>
          <w:kern w:val="0"/>
          <w:sz w:val="22"/>
          <w:lang w:val="fr-BE" w:eastAsia="en-GB"/>
          <w14:ligatures w14:val="none"/>
        </w:rPr>
        <w:t xml:space="preserve"> ( nombre d’années de maladie, types d’incapacité, régime de travail, duré de l’absence …)</w:t>
      </w:r>
    </w:p>
    <w:p w14:paraId="01E28EA9" w14:textId="77777777" w:rsidR="00895480" w:rsidRPr="00667DF5" w:rsidRDefault="00895480" w:rsidP="0066596E">
      <w:pPr>
        <w:pStyle w:val="Paragraphedeliste"/>
        <w:ind w:left="1440"/>
        <w:jc w:val="both"/>
        <w:rPr>
          <w:rFonts w:ascii="Verdana" w:eastAsia="Times New Roman" w:hAnsi="Verdana" w:cs="Times New Roman"/>
          <w:kern w:val="0"/>
          <w:sz w:val="22"/>
          <w:lang w:val="fr-BE" w:eastAsia="en-GB"/>
          <w14:ligatures w14:val="none"/>
        </w:rPr>
      </w:pPr>
    </w:p>
    <w:p w14:paraId="78DF303B" w14:textId="77777777" w:rsidR="00406A25" w:rsidRPr="00406A25" w:rsidRDefault="00406A25" w:rsidP="00406A25">
      <w:pPr>
        <w:ind w:left="850"/>
        <w:jc w:val="both"/>
        <w:rPr>
          <w:bCs/>
        </w:rPr>
      </w:pPr>
    </w:p>
    <w:p w14:paraId="15D5115F" w14:textId="77777777" w:rsidR="00364805" w:rsidRDefault="00364805" w:rsidP="00AB74EE">
      <w:pPr>
        <w:jc w:val="both"/>
        <w:outlineLvl w:val="0"/>
        <w:rPr>
          <w:b/>
          <w:u w:val="single"/>
        </w:rPr>
      </w:pPr>
    </w:p>
    <w:p w14:paraId="428D3A16" w14:textId="77777777" w:rsidR="00267DCF" w:rsidRPr="00267DCF" w:rsidRDefault="00267DCF" w:rsidP="0073760D">
      <w:pPr>
        <w:numPr>
          <w:ilvl w:val="0"/>
          <w:numId w:val="2"/>
        </w:numPr>
        <w:jc w:val="both"/>
        <w:outlineLvl w:val="0"/>
        <w:rPr>
          <w:b/>
        </w:rPr>
      </w:pPr>
      <w:r>
        <w:rPr>
          <w:b/>
          <w:u w:val="single"/>
        </w:rPr>
        <w:t xml:space="preserve">AVIS </w:t>
      </w:r>
    </w:p>
    <w:p w14:paraId="3EFA2B65" w14:textId="77777777" w:rsidR="00267DCF" w:rsidRDefault="00267DCF" w:rsidP="00267DCF">
      <w:pPr>
        <w:jc w:val="both"/>
        <w:rPr>
          <w:b/>
          <w:u w:val="single"/>
        </w:rPr>
      </w:pPr>
    </w:p>
    <w:p w14:paraId="35D8E375" w14:textId="464D4868" w:rsidR="00AE083B" w:rsidRDefault="00D12AFA" w:rsidP="00D12AFA">
      <w:pPr>
        <w:ind w:left="360"/>
        <w:jc w:val="both"/>
        <w:rPr>
          <w:szCs w:val="22"/>
        </w:rPr>
      </w:pPr>
      <w:r>
        <w:rPr>
          <w:szCs w:val="22"/>
        </w:rPr>
        <w:t xml:space="preserve">Le CSNPH rappelle que </w:t>
      </w:r>
      <w:r w:rsidR="00AE083B" w:rsidRPr="00AE083B">
        <w:rPr>
          <w:szCs w:val="22"/>
        </w:rPr>
        <w:t>la déficience</w:t>
      </w:r>
      <w:r w:rsidRPr="00AE083B">
        <w:rPr>
          <w:szCs w:val="22"/>
        </w:rPr>
        <w:t xml:space="preserve"> ou la maladie ne se choisissent pas </w:t>
      </w:r>
      <w:r w:rsidR="00AE083B" w:rsidRPr="00AE083B">
        <w:rPr>
          <w:szCs w:val="22"/>
        </w:rPr>
        <w:t xml:space="preserve">et relèvent des </w:t>
      </w:r>
      <w:r w:rsidR="00AE083B" w:rsidRPr="00AE083B">
        <w:rPr>
          <w:b/>
          <w:bCs/>
          <w:szCs w:val="22"/>
        </w:rPr>
        <w:t>caractéristiques</w:t>
      </w:r>
      <w:r w:rsidR="00AE083B">
        <w:rPr>
          <w:szCs w:val="22"/>
        </w:rPr>
        <w:t xml:space="preserve"> de la personne.</w:t>
      </w:r>
    </w:p>
    <w:p w14:paraId="488DA8BE" w14:textId="77777777" w:rsidR="00AE083B" w:rsidRDefault="00D12AFA" w:rsidP="00D12AFA">
      <w:pPr>
        <w:ind w:left="360"/>
        <w:jc w:val="both"/>
        <w:rPr>
          <w:szCs w:val="22"/>
        </w:rPr>
      </w:pPr>
      <w:r>
        <w:rPr>
          <w:szCs w:val="22"/>
        </w:rPr>
        <w:t xml:space="preserve"> </w:t>
      </w:r>
    </w:p>
    <w:p w14:paraId="11E6D98E" w14:textId="3CE49BF5" w:rsidR="00D12AFA" w:rsidRDefault="00AE083B" w:rsidP="00AE083B">
      <w:pPr>
        <w:ind w:left="360"/>
        <w:jc w:val="both"/>
        <w:rPr>
          <w:szCs w:val="22"/>
        </w:rPr>
      </w:pPr>
      <w:r>
        <w:rPr>
          <w:szCs w:val="22"/>
        </w:rPr>
        <w:t xml:space="preserve">Par contre, </w:t>
      </w:r>
      <w:r w:rsidR="00E03FF9">
        <w:rPr>
          <w:szCs w:val="22"/>
        </w:rPr>
        <w:t xml:space="preserve">réduire </w:t>
      </w:r>
      <w:r w:rsidR="00831792">
        <w:rPr>
          <w:szCs w:val="22"/>
        </w:rPr>
        <w:t>la pension</w:t>
      </w:r>
      <w:r w:rsidR="00E03FF9">
        <w:rPr>
          <w:szCs w:val="22"/>
        </w:rPr>
        <w:t xml:space="preserve"> de la personne au motif d’un</w:t>
      </w:r>
      <w:r w:rsidR="00D12AFA">
        <w:rPr>
          <w:szCs w:val="22"/>
        </w:rPr>
        <w:t xml:space="preserve"> </w:t>
      </w:r>
      <w:r w:rsidR="00D12AFA">
        <w:rPr>
          <w:szCs w:val="22"/>
        </w:rPr>
        <w:t xml:space="preserve">parcours de travail irrégulier </w:t>
      </w:r>
      <w:r w:rsidR="00E03FF9">
        <w:rPr>
          <w:szCs w:val="22"/>
        </w:rPr>
        <w:t>ou</w:t>
      </w:r>
      <w:r w:rsidR="00D12AFA">
        <w:rPr>
          <w:szCs w:val="22"/>
        </w:rPr>
        <w:t xml:space="preserve"> incomplet </w:t>
      </w:r>
      <w:r w:rsidR="00E03FF9">
        <w:rPr>
          <w:szCs w:val="22"/>
        </w:rPr>
        <w:t>et</w:t>
      </w:r>
      <w:r w:rsidR="00D12AFA">
        <w:rPr>
          <w:szCs w:val="22"/>
        </w:rPr>
        <w:t xml:space="preserve"> </w:t>
      </w:r>
      <w:r w:rsidR="00D12AFA">
        <w:rPr>
          <w:szCs w:val="22"/>
        </w:rPr>
        <w:t xml:space="preserve">en raison de </w:t>
      </w:r>
      <w:r w:rsidR="00D12AFA">
        <w:rPr>
          <w:szCs w:val="22"/>
        </w:rPr>
        <w:t>son</w:t>
      </w:r>
      <w:r w:rsidR="00D12AFA">
        <w:rPr>
          <w:szCs w:val="22"/>
        </w:rPr>
        <w:t xml:space="preserve"> état de santé</w:t>
      </w:r>
      <w:r w:rsidR="00D12AFA">
        <w:rPr>
          <w:szCs w:val="22"/>
        </w:rPr>
        <w:t xml:space="preserve"> est </w:t>
      </w:r>
      <w:r w:rsidR="00D12AFA" w:rsidRPr="00831792">
        <w:rPr>
          <w:b/>
          <w:bCs/>
          <w:szCs w:val="22"/>
        </w:rPr>
        <w:t xml:space="preserve">une </w:t>
      </w:r>
      <w:r>
        <w:rPr>
          <w:b/>
          <w:bCs/>
          <w:szCs w:val="22"/>
        </w:rPr>
        <w:t>peine</w:t>
      </w:r>
      <w:r w:rsidR="006D534E">
        <w:rPr>
          <w:b/>
          <w:bCs/>
          <w:szCs w:val="22"/>
        </w:rPr>
        <w:t xml:space="preserve"> injuste,  totalement infondée et discriminatoire </w:t>
      </w:r>
      <w:r>
        <w:rPr>
          <w:b/>
          <w:bCs/>
          <w:szCs w:val="22"/>
        </w:rPr>
        <w:t xml:space="preserve"> en raison du handicap de la personne ! </w:t>
      </w:r>
      <w:r w:rsidR="006D534E">
        <w:rPr>
          <w:b/>
          <w:bCs/>
          <w:szCs w:val="22"/>
        </w:rPr>
        <w:t>Un tel</w:t>
      </w:r>
      <w:r>
        <w:rPr>
          <w:b/>
          <w:bCs/>
          <w:szCs w:val="22"/>
        </w:rPr>
        <w:t xml:space="preserve"> choix politique </w:t>
      </w:r>
      <w:r w:rsidR="006D534E">
        <w:rPr>
          <w:b/>
          <w:bCs/>
          <w:szCs w:val="22"/>
        </w:rPr>
        <w:t xml:space="preserve">est totalement </w:t>
      </w:r>
      <w:r>
        <w:rPr>
          <w:b/>
          <w:bCs/>
          <w:szCs w:val="22"/>
        </w:rPr>
        <w:t xml:space="preserve">contraire </w:t>
      </w:r>
      <w:r w:rsidR="006D534E">
        <w:rPr>
          <w:b/>
          <w:bCs/>
          <w:szCs w:val="22"/>
        </w:rPr>
        <w:t>à</w:t>
      </w:r>
      <w:r>
        <w:rPr>
          <w:b/>
          <w:bCs/>
          <w:szCs w:val="22"/>
        </w:rPr>
        <w:t xml:space="preserve"> l’UNCRPD </w:t>
      </w:r>
      <w:r w:rsidR="00E03FF9">
        <w:rPr>
          <w:b/>
          <w:bCs/>
          <w:szCs w:val="22"/>
        </w:rPr>
        <w:t xml:space="preserve">-ratifiée par la Belgique- </w:t>
      </w:r>
      <w:r>
        <w:rPr>
          <w:b/>
          <w:bCs/>
          <w:szCs w:val="22"/>
        </w:rPr>
        <w:t xml:space="preserve">et </w:t>
      </w:r>
      <w:r w:rsidR="006D534E">
        <w:rPr>
          <w:b/>
          <w:bCs/>
          <w:szCs w:val="22"/>
        </w:rPr>
        <w:t xml:space="preserve">à </w:t>
      </w:r>
      <w:r>
        <w:rPr>
          <w:b/>
          <w:bCs/>
          <w:szCs w:val="22"/>
        </w:rPr>
        <w:t>la Constitution belge.</w:t>
      </w:r>
    </w:p>
    <w:p w14:paraId="7FD97F69" w14:textId="77777777" w:rsidR="00D12AFA" w:rsidRDefault="00D12AFA" w:rsidP="00D12AFA">
      <w:pPr>
        <w:ind w:left="360"/>
        <w:jc w:val="both"/>
        <w:rPr>
          <w:szCs w:val="22"/>
        </w:rPr>
      </w:pPr>
    </w:p>
    <w:p w14:paraId="54662492" w14:textId="049AEDA4" w:rsidR="00D12AFA" w:rsidRPr="00831792" w:rsidRDefault="00D12AFA" w:rsidP="00D12AFA">
      <w:pPr>
        <w:ind w:left="360"/>
        <w:jc w:val="both"/>
        <w:rPr>
          <w:b/>
          <w:bCs/>
          <w:szCs w:val="22"/>
        </w:rPr>
      </w:pPr>
      <w:r>
        <w:rPr>
          <w:szCs w:val="22"/>
        </w:rPr>
        <w:t xml:space="preserve">Le CSNPH rappelle </w:t>
      </w:r>
      <w:r w:rsidR="00AE083B">
        <w:rPr>
          <w:szCs w:val="22"/>
        </w:rPr>
        <w:t>les autres pénalités  déjà infligées plus en amont </w:t>
      </w:r>
      <w:r w:rsidR="00AE083B">
        <w:rPr>
          <w:szCs w:val="22"/>
        </w:rPr>
        <w:t>du parcours de vie </w:t>
      </w:r>
      <w:r w:rsidR="00AE083B">
        <w:rPr>
          <w:szCs w:val="22"/>
        </w:rPr>
        <w:t xml:space="preserve"> aux personnes et à leur familles: </w:t>
      </w:r>
      <w:r>
        <w:rPr>
          <w:szCs w:val="22"/>
        </w:rPr>
        <w:t xml:space="preserve">beaucoup de personnes doivent </w:t>
      </w:r>
      <w:r w:rsidRPr="006D534E">
        <w:rPr>
          <w:szCs w:val="22"/>
        </w:rPr>
        <w:t>abandonner ou refuser un travail</w:t>
      </w:r>
      <w:r>
        <w:rPr>
          <w:szCs w:val="22"/>
        </w:rPr>
        <w:t xml:space="preserve"> parce que c’est </w:t>
      </w:r>
      <w:r w:rsidRPr="00831792">
        <w:rPr>
          <w:b/>
          <w:bCs/>
          <w:szCs w:val="22"/>
        </w:rPr>
        <w:t xml:space="preserve">l’environnement qui rend le travail impossible : </w:t>
      </w:r>
    </w:p>
    <w:p w14:paraId="7AF0D54D" w14:textId="7C2423CD" w:rsidR="00D12AFA" w:rsidRDefault="00D12AFA" w:rsidP="00D12AFA">
      <w:pPr>
        <w:ind w:left="360"/>
        <w:jc w:val="both"/>
        <w:rPr>
          <w:szCs w:val="22"/>
        </w:rPr>
      </w:pPr>
      <w:r>
        <w:rPr>
          <w:szCs w:val="22"/>
        </w:rPr>
        <w:t>- manque de formation et de parcours inclusifs et de qualité</w:t>
      </w:r>
    </w:p>
    <w:p w14:paraId="6E19C9BB" w14:textId="79BE5D4A" w:rsidR="00D12AFA" w:rsidRDefault="00D12AFA" w:rsidP="00D12AFA">
      <w:pPr>
        <w:ind w:left="360"/>
        <w:jc w:val="both"/>
        <w:rPr>
          <w:szCs w:val="22"/>
        </w:rPr>
      </w:pPr>
      <w:r>
        <w:rPr>
          <w:szCs w:val="22"/>
        </w:rPr>
        <w:t>- manque de services d’accompagnement pour les personnes en situation de handicap et leur famille</w:t>
      </w:r>
    </w:p>
    <w:p w14:paraId="4377D312" w14:textId="77777777" w:rsidR="00D12AFA" w:rsidRDefault="00D12AFA" w:rsidP="00D12AFA">
      <w:pPr>
        <w:ind w:left="360"/>
        <w:jc w:val="both"/>
        <w:rPr>
          <w:szCs w:val="22"/>
        </w:rPr>
      </w:pPr>
      <w:r>
        <w:rPr>
          <w:szCs w:val="22"/>
        </w:rPr>
        <w:t xml:space="preserve">- environnement public et transports publics inaccessibles </w:t>
      </w:r>
    </w:p>
    <w:p w14:paraId="07AB7C94" w14:textId="4E77CB3C" w:rsidR="00D12AFA" w:rsidRDefault="00D12AFA" w:rsidP="00D12AFA">
      <w:pPr>
        <w:ind w:left="360"/>
        <w:jc w:val="both"/>
        <w:rPr>
          <w:szCs w:val="22"/>
        </w:rPr>
      </w:pPr>
      <w:r>
        <w:rPr>
          <w:szCs w:val="22"/>
        </w:rPr>
        <w:t xml:space="preserve">- aménagements raisonnable et actions positives non contraignants  </w:t>
      </w:r>
    </w:p>
    <w:p w14:paraId="356C948A" w14:textId="0C3BDC1A" w:rsidR="00D12AFA" w:rsidRDefault="00D12AFA" w:rsidP="00D12AFA">
      <w:pPr>
        <w:ind w:left="360"/>
        <w:jc w:val="both"/>
        <w:rPr>
          <w:szCs w:val="22"/>
        </w:rPr>
      </w:pPr>
      <w:r>
        <w:rPr>
          <w:szCs w:val="22"/>
        </w:rPr>
        <w:t>- Parcours de soins et parcours de travail non conciliables</w:t>
      </w:r>
    </w:p>
    <w:p w14:paraId="58585637" w14:textId="1CC5CE5D" w:rsidR="00D12AFA" w:rsidRDefault="00D12AFA" w:rsidP="00D12AFA">
      <w:pPr>
        <w:ind w:left="360"/>
        <w:jc w:val="both"/>
        <w:rPr>
          <w:szCs w:val="22"/>
        </w:rPr>
      </w:pPr>
      <w:r>
        <w:rPr>
          <w:szCs w:val="22"/>
        </w:rPr>
        <w:t>- approche « réservée » des employeurs</w:t>
      </w:r>
    </w:p>
    <w:p w14:paraId="0FC18366" w14:textId="33846406" w:rsidR="00831792" w:rsidRDefault="00831792" w:rsidP="00D12AFA">
      <w:pPr>
        <w:ind w:left="360"/>
        <w:jc w:val="both"/>
        <w:rPr>
          <w:szCs w:val="22"/>
        </w:rPr>
      </w:pPr>
      <w:r>
        <w:rPr>
          <w:szCs w:val="22"/>
        </w:rPr>
        <w:t xml:space="preserve">- une réglementation sociale inadaptée (cumul allocations-travail, article 100 loi 1978, loi sur les contrats de travail, </w:t>
      </w:r>
      <w:proofErr w:type="spellStart"/>
      <w:r>
        <w:rPr>
          <w:szCs w:val="22"/>
        </w:rPr>
        <w:t>etc</w:t>
      </w:r>
      <w:proofErr w:type="spellEnd"/>
      <w:r>
        <w:rPr>
          <w:szCs w:val="22"/>
        </w:rPr>
        <w:t xml:space="preserve">)  </w:t>
      </w:r>
    </w:p>
    <w:p w14:paraId="12938938" w14:textId="463C843F" w:rsidR="00AE083B" w:rsidRDefault="00AE083B" w:rsidP="00D12AFA">
      <w:pPr>
        <w:ind w:left="360"/>
        <w:jc w:val="both"/>
        <w:rPr>
          <w:szCs w:val="22"/>
        </w:rPr>
      </w:pPr>
      <w:r>
        <w:rPr>
          <w:szCs w:val="22"/>
        </w:rPr>
        <w:t xml:space="preserve">- </w:t>
      </w:r>
      <w:proofErr w:type="spellStart"/>
      <w:r>
        <w:rPr>
          <w:szCs w:val="22"/>
        </w:rPr>
        <w:t>etc</w:t>
      </w:r>
      <w:proofErr w:type="spellEnd"/>
    </w:p>
    <w:p w14:paraId="685AA23D" w14:textId="77777777" w:rsidR="00D12AFA" w:rsidRDefault="00D12AFA" w:rsidP="0066596E">
      <w:pPr>
        <w:ind w:left="360"/>
        <w:jc w:val="both"/>
        <w:rPr>
          <w:szCs w:val="22"/>
        </w:rPr>
      </w:pPr>
    </w:p>
    <w:p w14:paraId="1EA79EEA" w14:textId="77777777" w:rsidR="00831792" w:rsidRDefault="00831792" w:rsidP="0066596E">
      <w:pPr>
        <w:ind w:left="360"/>
        <w:jc w:val="both"/>
        <w:rPr>
          <w:szCs w:val="22"/>
        </w:rPr>
      </w:pPr>
    </w:p>
    <w:p w14:paraId="6653E8EE" w14:textId="77777777" w:rsidR="00831792" w:rsidRDefault="00831792" w:rsidP="0066596E">
      <w:pPr>
        <w:ind w:left="360"/>
        <w:jc w:val="both"/>
        <w:rPr>
          <w:b/>
          <w:bCs/>
          <w:szCs w:val="22"/>
        </w:rPr>
      </w:pPr>
      <w:r>
        <w:rPr>
          <w:szCs w:val="22"/>
        </w:rPr>
        <w:t xml:space="preserve">Le CSNPH considère que dans ce contexte de travail global la personne en situation de handicap est d’entrée de jeu dans une position fragile ; </w:t>
      </w:r>
      <w:r>
        <w:rPr>
          <w:szCs w:val="22"/>
        </w:rPr>
        <w:t>dans les faits</w:t>
      </w:r>
      <w:r>
        <w:rPr>
          <w:szCs w:val="22"/>
        </w:rPr>
        <w:t>,</w:t>
      </w:r>
      <w:r>
        <w:rPr>
          <w:szCs w:val="22"/>
        </w:rPr>
        <w:t xml:space="preserve"> </w:t>
      </w:r>
      <w:r>
        <w:rPr>
          <w:szCs w:val="22"/>
        </w:rPr>
        <w:t xml:space="preserve">au-delà de prouver, comme tout autre travailleur ses compétences et capacités, la personne en situation de handicap doit aussi et toujours convaincre qu’elle pourra travailler en dépit de son handicap, il s’agit là d’une </w:t>
      </w:r>
      <w:r w:rsidRPr="00831792">
        <w:rPr>
          <w:b/>
          <w:bCs/>
          <w:szCs w:val="22"/>
        </w:rPr>
        <w:t>discrimination profonde basée sur le handicap</w:t>
      </w:r>
      <w:r>
        <w:rPr>
          <w:b/>
          <w:bCs/>
          <w:szCs w:val="22"/>
        </w:rPr>
        <w:t>.</w:t>
      </w:r>
    </w:p>
    <w:p w14:paraId="6CCC064F" w14:textId="29B7726D" w:rsidR="00D12AFA" w:rsidRDefault="00831792" w:rsidP="0066596E">
      <w:pPr>
        <w:ind w:left="360"/>
        <w:jc w:val="both"/>
        <w:rPr>
          <w:szCs w:val="22"/>
        </w:rPr>
      </w:pPr>
      <w:r>
        <w:rPr>
          <w:szCs w:val="22"/>
        </w:rPr>
        <w:t xml:space="preserve"> </w:t>
      </w:r>
    </w:p>
    <w:p w14:paraId="5301073D" w14:textId="3FA1C2E9" w:rsidR="00AE083B" w:rsidRDefault="00AE083B" w:rsidP="0066596E">
      <w:pPr>
        <w:ind w:left="360"/>
        <w:jc w:val="both"/>
        <w:rPr>
          <w:szCs w:val="22"/>
        </w:rPr>
      </w:pPr>
      <w:r>
        <w:rPr>
          <w:szCs w:val="22"/>
        </w:rPr>
        <w:t xml:space="preserve">Le CSNPH enjoint le Ministre des </w:t>
      </w:r>
      <w:r w:rsidR="00E03FF9">
        <w:rPr>
          <w:szCs w:val="22"/>
        </w:rPr>
        <w:t>Pensions</w:t>
      </w:r>
      <w:r>
        <w:rPr>
          <w:szCs w:val="22"/>
        </w:rPr>
        <w:t xml:space="preserve"> et le gouvernement de revoir totalement leur approche et de </w:t>
      </w:r>
      <w:r w:rsidRPr="00E03FF9">
        <w:rPr>
          <w:b/>
          <w:bCs/>
          <w:szCs w:val="22"/>
        </w:rPr>
        <w:t>ne jamais sanctionner</w:t>
      </w:r>
      <w:r>
        <w:rPr>
          <w:szCs w:val="22"/>
        </w:rPr>
        <w:t xml:space="preserve"> la personne en situation de handicap, qu’elle soit en capacité ou non de travailler</w:t>
      </w:r>
      <w:r w:rsidR="00E03FF9">
        <w:rPr>
          <w:szCs w:val="22"/>
        </w:rPr>
        <w:t>.</w:t>
      </w:r>
    </w:p>
    <w:p w14:paraId="3515CD84" w14:textId="77777777" w:rsidR="00E03FF9" w:rsidRDefault="00E03FF9" w:rsidP="0066596E">
      <w:pPr>
        <w:ind w:left="360"/>
        <w:jc w:val="both"/>
        <w:rPr>
          <w:szCs w:val="22"/>
        </w:rPr>
      </w:pPr>
    </w:p>
    <w:p w14:paraId="4CAAD6A3" w14:textId="569FA00D" w:rsidR="00E03FF9" w:rsidRPr="00E03FF9" w:rsidRDefault="00AE083B" w:rsidP="0066596E">
      <w:pPr>
        <w:ind w:left="360"/>
        <w:jc w:val="both"/>
        <w:rPr>
          <w:b/>
          <w:bCs/>
          <w:szCs w:val="22"/>
        </w:rPr>
      </w:pPr>
      <w:r>
        <w:rPr>
          <w:szCs w:val="22"/>
        </w:rPr>
        <w:t xml:space="preserve">Le CSNPH </w:t>
      </w:r>
      <w:r w:rsidR="00E03FF9">
        <w:rPr>
          <w:szCs w:val="22"/>
        </w:rPr>
        <w:t xml:space="preserve">demande au gouvernement d’assurer, </w:t>
      </w:r>
      <w:proofErr w:type="spellStart"/>
      <w:r w:rsidR="00E03FF9">
        <w:rPr>
          <w:szCs w:val="22"/>
        </w:rPr>
        <w:t>ausx</w:t>
      </w:r>
      <w:proofErr w:type="spellEnd"/>
      <w:r w:rsidR="00E03FF9">
        <w:rPr>
          <w:szCs w:val="22"/>
        </w:rPr>
        <w:t xml:space="preserve"> personnes en situation de handicap et à leur famille,  des ressources qui leur permettent de se prendre </w:t>
      </w:r>
      <w:r w:rsidR="00E03FF9" w:rsidRPr="00E03FF9">
        <w:rPr>
          <w:b/>
          <w:bCs/>
          <w:szCs w:val="22"/>
        </w:rPr>
        <w:t>dignement en charge, à tout âge de la vie.</w:t>
      </w:r>
    </w:p>
    <w:p w14:paraId="7A976F06" w14:textId="77777777" w:rsidR="00E03FF9" w:rsidRDefault="00E03FF9" w:rsidP="0066596E">
      <w:pPr>
        <w:ind w:left="360"/>
        <w:jc w:val="both"/>
        <w:rPr>
          <w:szCs w:val="22"/>
        </w:rPr>
      </w:pPr>
    </w:p>
    <w:p w14:paraId="24F798F3" w14:textId="50F8F9E4" w:rsidR="00D12AFA" w:rsidRDefault="00E03FF9" w:rsidP="0066596E">
      <w:pPr>
        <w:ind w:left="360"/>
        <w:jc w:val="both"/>
        <w:rPr>
          <w:szCs w:val="22"/>
        </w:rPr>
      </w:pPr>
      <w:r>
        <w:rPr>
          <w:szCs w:val="22"/>
        </w:rPr>
        <w:t xml:space="preserve"> </w:t>
      </w:r>
    </w:p>
    <w:p w14:paraId="0D3AC11D" w14:textId="0766A2D8" w:rsidR="00581CE4" w:rsidRDefault="00581CE4" w:rsidP="0066596E">
      <w:pPr>
        <w:ind w:left="360"/>
        <w:jc w:val="both"/>
        <w:rPr>
          <w:szCs w:val="22"/>
        </w:rPr>
      </w:pPr>
    </w:p>
    <w:p w14:paraId="4213222E" w14:textId="77777777" w:rsidR="0066596E" w:rsidRPr="0066596E" w:rsidRDefault="0066596E" w:rsidP="0066596E">
      <w:pPr>
        <w:ind w:left="360"/>
        <w:jc w:val="both"/>
        <w:rPr>
          <w:szCs w:val="22"/>
        </w:rPr>
      </w:pPr>
    </w:p>
    <w:p w14:paraId="6ECE3628" w14:textId="77777777" w:rsidR="00D536A0" w:rsidRPr="0066596E" w:rsidRDefault="00D536A0" w:rsidP="00D536A0">
      <w:pPr>
        <w:jc w:val="both"/>
        <w:rPr>
          <w:bCs/>
        </w:rPr>
      </w:pPr>
    </w:p>
    <w:p w14:paraId="00C2A85F" w14:textId="77777777" w:rsidR="00267DCF" w:rsidRDefault="00267DCF" w:rsidP="00267DCF">
      <w:pPr>
        <w:ind w:left="5103"/>
        <w:jc w:val="both"/>
        <w:rPr>
          <w:rFonts w:cs="Arial"/>
          <w:sz w:val="20"/>
        </w:rPr>
      </w:pPr>
    </w:p>
    <w:p w14:paraId="46C1E8A1" w14:textId="77777777" w:rsidR="007A44D9" w:rsidRDefault="007A44D9" w:rsidP="00267DCF">
      <w:pPr>
        <w:ind w:left="5103"/>
        <w:jc w:val="both"/>
        <w:rPr>
          <w:rFonts w:cs="Arial"/>
          <w:sz w:val="20"/>
        </w:rPr>
      </w:pPr>
    </w:p>
    <w:p w14:paraId="18063119" w14:textId="77777777" w:rsidR="007A44D9" w:rsidRDefault="007A44D9" w:rsidP="00267DCF">
      <w:pPr>
        <w:ind w:left="5103"/>
        <w:jc w:val="both"/>
        <w:rPr>
          <w:rFonts w:cs="Arial"/>
          <w:sz w:val="20"/>
        </w:rPr>
      </w:pPr>
    </w:p>
    <w:p w14:paraId="40964B66" w14:textId="77777777" w:rsidR="007A44D9" w:rsidRPr="006B6C66" w:rsidRDefault="007A44D9" w:rsidP="00267DCF">
      <w:pPr>
        <w:ind w:left="5103"/>
        <w:jc w:val="both"/>
        <w:rPr>
          <w:rFonts w:cs="Arial"/>
          <w:sz w:val="20"/>
        </w:rPr>
      </w:pPr>
    </w:p>
    <w:p w14:paraId="60D74E30" w14:textId="77777777" w:rsidR="00267DCF" w:rsidRDefault="00267DCF" w:rsidP="00267DCF">
      <w:pPr>
        <w:ind w:left="5670"/>
        <w:jc w:val="both"/>
      </w:pPr>
      <w:r w:rsidRPr="006B6C66">
        <w:rPr>
          <w:rFonts w:cs="Arial"/>
          <w:sz w:val="20"/>
        </w:rPr>
        <w:t xml:space="preserve">Pour le </w:t>
      </w:r>
      <w:r w:rsidR="006224F1">
        <w:t>CSNPH,</w:t>
      </w:r>
    </w:p>
    <w:p w14:paraId="3EDF61E0" w14:textId="10C3BF8A" w:rsidR="00267DCF" w:rsidRPr="006B6C66" w:rsidRDefault="00571D39" w:rsidP="00267DCF">
      <w:pPr>
        <w:ind w:left="5670"/>
        <w:jc w:val="both"/>
        <w:rPr>
          <w:rFonts w:cs="Arial"/>
          <w:sz w:val="20"/>
        </w:rPr>
      </w:pPr>
      <w:r>
        <w:rPr>
          <w:rFonts w:cs="Arial"/>
          <w:noProof/>
          <w:sz w:val="20"/>
          <w:lang w:val="nl-NL"/>
        </w:rPr>
        <w:drawing>
          <wp:inline distT="0" distB="0" distL="0" distR="0" wp14:anchorId="060D3EFE" wp14:editId="79321104">
            <wp:extent cx="1171575" cy="990600"/>
            <wp:effectExtent l="0" t="0" r="0" b="0"/>
            <wp:docPr id="2"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171575" cy="990600"/>
                    </a:xfrm>
                    <a:prstGeom prst="rect">
                      <a:avLst/>
                    </a:prstGeom>
                    <a:noFill/>
                    <a:ln>
                      <a:noFill/>
                    </a:ln>
                  </pic:spPr>
                </pic:pic>
              </a:graphicData>
            </a:graphic>
          </wp:inline>
        </w:drawing>
      </w:r>
    </w:p>
    <w:p w14:paraId="1ABAB16F" w14:textId="77777777" w:rsidR="006224F1" w:rsidRDefault="006224F1" w:rsidP="00267DCF">
      <w:pPr>
        <w:ind w:left="5670"/>
        <w:jc w:val="both"/>
        <w:rPr>
          <w:rFonts w:cs="Arial"/>
          <w:sz w:val="20"/>
        </w:rPr>
      </w:pPr>
    </w:p>
    <w:p w14:paraId="0735A7C0" w14:textId="77777777" w:rsidR="00267DCF" w:rsidRPr="006B6C66" w:rsidRDefault="007A44D9" w:rsidP="00267DCF">
      <w:pPr>
        <w:ind w:left="5670"/>
        <w:jc w:val="both"/>
        <w:rPr>
          <w:rFonts w:cs="Arial"/>
          <w:sz w:val="20"/>
        </w:rPr>
      </w:pPr>
      <w:r>
        <w:rPr>
          <w:rFonts w:cs="Arial"/>
          <w:sz w:val="20"/>
        </w:rPr>
        <w:t>Gisèle Marlière</w:t>
      </w:r>
    </w:p>
    <w:p w14:paraId="30711B9C" w14:textId="77777777" w:rsidR="00267DCF" w:rsidRPr="00A83CDC" w:rsidRDefault="00267DCF" w:rsidP="006224F1">
      <w:pPr>
        <w:ind w:left="5670"/>
        <w:jc w:val="both"/>
        <w:rPr>
          <w:b/>
        </w:rPr>
      </w:pPr>
      <w:r w:rsidRPr="006B6C66">
        <w:rPr>
          <w:rFonts w:cs="Arial"/>
          <w:sz w:val="20"/>
        </w:rPr>
        <w:t>Président</w:t>
      </w:r>
      <w:r w:rsidR="007A44D9">
        <w:rPr>
          <w:rFonts w:cs="Arial"/>
          <w:sz w:val="20"/>
        </w:rPr>
        <w:t>e</w:t>
      </w:r>
    </w:p>
    <w:sectPr w:rsidR="00267DCF" w:rsidRPr="00A83CDC">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F357D8"/>
    <w:multiLevelType w:val="hybridMultilevel"/>
    <w:tmpl w:val="1BCA7DD6"/>
    <w:lvl w:ilvl="0" w:tplc="0809000F">
      <w:start w:val="1"/>
      <w:numFmt w:val="decimal"/>
      <w:lvlText w:val="%1."/>
      <w:lvlJc w:val="left"/>
      <w:pPr>
        <w:tabs>
          <w:tab w:val="num" w:pos="360"/>
        </w:tabs>
        <w:ind w:left="360" w:hanging="360"/>
      </w:pPr>
    </w:lvl>
    <w:lvl w:ilvl="1" w:tplc="FFFFFFFF">
      <w:start w:val="1"/>
      <w:numFmt w:val="bullet"/>
      <w:lvlText w:val=""/>
      <w:lvlJc w:val="left"/>
      <w:pPr>
        <w:tabs>
          <w:tab w:val="num" w:pos="1080"/>
        </w:tabs>
        <w:ind w:left="1060" w:hanging="340"/>
      </w:pPr>
      <w:rPr>
        <w:rFonts w:ascii="Wingdings" w:hAnsi="Wingdings" w:hint="default"/>
        <w:sz w:val="16"/>
      </w:r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1" w15:restartNumberingAfterBreak="0">
    <w:nsid w:val="093578C9"/>
    <w:multiLevelType w:val="hybridMultilevel"/>
    <w:tmpl w:val="8AB0EA66"/>
    <w:lvl w:ilvl="0" w:tplc="04090017">
      <w:start w:val="1"/>
      <w:numFmt w:val="lowerLetter"/>
      <w:lvlText w:val="%1)"/>
      <w:lvlJc w:val="left"/>
      <w:pPr>
        <w:ind w:left="1210" w:hanging="360"/>
      </w:pPr>
    </w:lvl>
    <w:lvl w:ilvl="1" w:tplc="FFFFFFFF">
      <w:start w:val="1"/>
      <w:numFmt w:val="lowerLetter"/>
      <w:lvlText w:val="%2."/>
      <w:lvlJc w:val="left"/>
      <w:pPr>
        <w:ind w:left="2160" w:hanging="360"/>
      </w:pPr>
    </w:lvl>
    <w:lvl w:ilvl="2" w:tplc="FFFFFFFF">
      <w:start w:val="1"/>
      <w:numFmt w:val="lowerRoman"/>
      <w:lvlText w:val="%3."/>
      <w:lvlJc w:val="right"/>
      <w:pPr>
        <w:ind w:left="2880" w:hanging="180"/>
      </w:pPr>
    </w:lvl>
    <w:lvl w:ilvl="3" w:tplc="FFFFFFFF">
      <w:start w:val="1"/>
      <w:numFmt w:val="decimal"/>
      <w:lvlText w:val="%4."/>
      <w:lvlJc w:val="left"/>
      <w:pPr>
        <w:ind w:left="3600" w:hanging="360"/>
      </w:pPr>
    </w:lvl>
    <w:lvl w:ilvl="4" w:tplc="FFFFFFFF">
      <w:start w:val="1"/>
      <w:numFmt w:val="lowerLetter"/>
      <w:lvlText w:val="%5."/>
      <w:lvlJc w:val="left"/>
      <w:pPr>
        <w:ind w:left="4320" w:hanging="360"/>
      </w:pPr>
    </w:lvl>
    <w:lvl w:ilvl="5" w:tplc="FFFFFFFF">
      <w:start w:val="1"/>
      <w:numFmt w:val="lowerRoman"/>
      <w:lvlText w:val="%6."/>
      <w:lvlJc w:val="right"/>
      <w:pPr>
        <w:ind w:left="5040" w:hanging="180"/>
      </w:pPr>
    </w:lvl>
    <w:lvl w:ilvl="6" w:tplc="FFFFFFFF">
      <w:start w:val="1"/>
      <w:numFmt w:val="decimal"/>
      <w:lvlText w:val="%7."/>
      <w:lvlJc w:val="left"/>
      <w:pPr>
        <w:ind w:left="5760" w:hanging="360"/>
      </w:pPr>
    </w:lvl>
    <w:lvl w:ilvl="7" w:tplc="FFFFFFFF">
      <w:start w:val="1"/>
      <w:numFmt w:val="lowerLetter"/>
      <w:lvlText w:val="%8."/>
      <w:lvlJc w:val="left"/>
      <w:pPr>
        <w:ind w:left="6480" w:hanging="360"/>
      </w:pPr>
    </w:lvl>
    <w:lvl w:ilvl="8" w:tplc="FFFFFFFF">
      <w:start w:val="1"/>
      <w:numFmt w:val="lowerRoman"/>
      <w:lvlText w:val="%9."/>
      <w:lvlJc w:val="right"/>
      <w:pPr>
        <w:ind w:left="7200" w:hanging="180"/>
      </w:pPr>
    </w:lvl>
  </w:abstractNum>
  <w:abstractNum w:abstractNumId="2" w15:restartNumberingAfterBreak="0">
    <w:nsid w:val="09F36159"/>
    <w:multiLevelType w:val="hybridMultilevel"/>
    <w:tmpl w:val="CC2EB8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60616C3"/>
    <w:multiLevelType w:val="hybridMultilevel"/>
    <w:tmpl w:val="CA6082AA"/>
    <w:lvl w:ilvl="0" w:tplc="04090005">
      <w:start w:val="1"/>
      <w:numFmt w:val="bullet"/>
      <w:lvlText w:val=""/>
      <w:lvlJc w:val="left"/>
      <w:pPr>
        <w:ind w:left="2160" w:hanging="360"/>
      </w:pPr>
      <w:rPr>
        <w:rFonts w:ascii="Wingdings" w:hAnsi="Wingdings"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4" w15:restartNumberingAfterBreak="0">
    <w:nsid w:val="4D7833BF"/>
    <w:multiLevelType w:val="multilevel"/>
    <w:tmpl w:val="4206451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ind w:left="2160" w:hanging="360"/>
      </w:pPr>
      <w:rPr>
        <w:rFonts w:ascii="Wingdings" w:hAnsi="Wingdings" w:hint="default"/>
      </w:rPr>
    </w:lvl>
    <w:lvl w:ilvl="3">
      <w:start w:val="4"/>
      <w:numFmt w:val="bullet"/>
      <w:lvlText w:val=""/>
      <w:lvlJc w:val="left"/>
      <w:pPr>
        <w:ind w:left="2880" w:hanging="360"/>
      </w:pPr>
      <w:rPr>
        <w:rFonts w:ascii="Wingdings" w:eastAsia="Times New Roman" w:hAnsi="Wingdings" w:cs="Times New Roman" w:hint="default"/>
      </w:r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4E9B4801"/>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 w15:restartNumberingAfterBreak="0">
    <w:nsid w:val="50D00DBD"/>
    <w:multiLevelType w:val="hybridMultilevel"/>
    <w:tmpl w:val="2688A99C"/>
    <w:lvl w:ilvl="0" w:tplc="FFFFFFFF">
      <w:start w:val="1"/>
      <w:numFmt w:val="upperLetter"/>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7" w15:restartNumberingAfterBreak="0">
    <w:nsid w:val="53790BFD"/>
    <w:multiLevelType w:val="hybridMultilevel"/>
    <w:tmpl w:val="38A0DB16"/>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6484A9C"/>
    <w:multiLevelType w:val="hybridMultilevel"/>
    <w:tmpl w:val="E95C01C0"/>
    <w:lvl w:ilvl="0" w:tplc="FFFFFFFF">
      <w:start w:val="1"/>
      <w:numFmt w:val="bullet"/>
      <w:lvlText w:val=""/>
      <w:lvlJc w:val="left"/>
      <w:pPr>
        <w:ind w:left="1635" w:hanging="360"/>
      </w:pPr>
      <w:rPr>
        <w:rFonts w:ascii="Wingdings" w:hAnsi="Wingdings" w:hint="default"/>
        <w:sz w:val="16"/>
      </w:rPr>
    </w:lvl>
    <w:lvl w:ilvl="1" w:tplc="08130003">
      <w:start w:val="1"/>
      <w:numFmt w:val="bullet"/>
      <w:lvlText w:val="o"/>
      <w:lvlJc w:val="left"/>
      <w:pPr>
        <w:ind w:left="2355" w:hanging="360"/>
      </w:pPr>
      <w:rPr>
        <w:rFonts w:ascii="Courier New" w:hAnsi="Courier New" w:cs="Courier New" w:hint="default"/>
      </w:rPr>
    </w:lvl>
    <w:lvl w:ilvl="2" w:tplc="08130005">
      <w:start w:val="1"/>
      <w:numFmt w:val="bullet"/>
      <w:lvlText w:val=""/>
      <w:lvlJc w:val="left"/>
      <w:pPr>
        <w:ind w:left="3075" w:hanging="360"/>
      </w:pPr>
      <w:rPr>
        <w:rFonts w:ascii="Wingdings" w:hAnsi="Wingdings" w:hint="default"/>
      </w:rPr>
    </w:lvl>
    <w:lvl w:ilvl="3" w:tplc="08130001">
      <w:start w:val="1"/>
      <w:numFmt w:val="bullet"/>
      <w:lvlText w:val=""/>
      <w:lvlJc w:val="left"/>
      <w:pPr>
        <w:ind w:left="3795" w:hanging="360"/>
      </w:pPr>
      <w:rPr>
        <w:rFonts w:ascii="Symbol" w:hAnsi="Symbol" w:hint="default"/>
      </w:rPr>
    </w:lvl>
    <w:lvl w:ilvl="4" w:tplc="08130003">
      <w:start w:val="1"/>
      <w:numFmt w:val="bullet"/>
      <w:lvlText w:val="o"/>
      <w:lvlJc w:val="left"/>
      <w:pPr>
        <w:ind w:left="4515" w:hanging="360"/>
      </w:pPr>
      <w:rPr>
        <w:rFonts w:ascii="Courier New" w:hAnsi="Courier New" w:cs="Courier New" w:hint="default"/>
      </w:rPr>
    </w:lvl>
    <w:lvl w:ilvl="5" w:tplc="08130005">
      <w:start w:val="1"/>
      <w:numFmt w:val="bullet"/>
      <w:lvlText w:val=""/>
      <w:lvlJc w:val="left"/>
      <w:pPr>
        <w:ind w:left="5235" w:hanging="360"/>
      </w:pPr>
      <w:rPr>
        <w:rFonts w:ascii="Wingdings" w:hAnsi="Wingdings" w:hint="default"/>
      </w:rPr>
    </w:lvl>
    <w:lvl w:ilvl="6" w:tplc="08130001">
      <w:start w:val="1"/>
      <w:numFmt w:val="bullet"/>
      <w:lvlText w:val=""/>
      <w:lvlJc w:val="left"/>
      <w:pPr>
        <w:ind w:left="5955" w:hanging="360"/>
      </w:pPr>
      <w:rPr>
        <w:rFonts w:ascii="Symbol" w:hAnsi="Symbol" w:hint="default"/>
      </w:rPr>
    </w:lvl>
    <w:lvl w:ilvl="7" w:tplc="08130003">
      <w:start w:val="1"/>
      <w:numFmt w:val="bullet"/>
      <w:lvlText w:val="o"/>
      <w:lvlJc w:val="left"/>
      <w:pPr>
        <w:ind w:left="6675" w:hanging="360"/>
      </w:pPr>
      <w:rPr>
        <w:rFonts w:ascii="Courier New" w:hAnsi="Courier New" w:cs="Courier New" w:hint="default"/>
      </w:rPr>
    </w:lvl>
    <w:lvl w:ilvl="8" w:tplc="08130005">
      <w:start w:val="1"/>
      <w:numFmt w:val="bullet"/>
      <w:lvlText w:val=""/>
      <w:lvlJc w:val="left"/>
      <w:pPr>
        <w:ind w:left="7395" w:hanging="360"/>
      </w:pPr>
      <w:rPr>
        <w:rFonts w:ascii="Wingdings" w:hAnsi="Wingdings" w:hint="default"/>
      </w:rPr>
    </w:lvl>
  </w:abstractNum>
  <w:abstractNum w:abstractNumId="9" w15:restartNumberingAfterBreak="0">
    <w:nsid w:val="57B33E58"/>
    <w:multiLevelType w:val="multilevel"/>
    <w:tmpl w:val="08E46D8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ind w:left="2160" w:hanging="360"/>
      </w:pPr>
      <w:rPr>
        <w:rFonts w:ascii="Wingdings" w:hAnsi="Wingdings" w:hint="default"/>
      </w:rPr>
    </w:lvl>
    <w:lvl w:ilvl="3">
      <w:start w:val="4"/>
      <w:numFmt w:val="bullet"/>
      <w:lvlText w:val=""/>
      <w:lvlJc w:val="left"/>
      <w:pPr>
        <w:ind w:left="2880" w:hanging="360"/>
      </w:pPr>
      <w:rPr>
        <w:rFonts w:ascii="Wingdings" w:eastAsia="Times New Roman" w:hAnsi="Wingdings" w:cs="Times New Roman" w:hint="default"/>
      </w:rPr>
    </w:lvl>
    <w:lvl w:ilvl="4">
      <w:start w:val="2"/>
      <w:numFmt w:val="bullet"/>
      <w:lvlText w:val="-"/>
      <w:lvlJc w:val="left"/>
      <w:pPr>
        <w:ind w:left="3600" w:hanging="360"/>
      </w:pPr>
      <w:rPr>
        <w:rFonts w:ascii="Verdana" w:eastAsia="Times New Roman" w:hAnsi="Verdana" w:cs="Times New Roman" w:hint="default"/>
      </w:r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60002307"/>
    <w:multiLevelType w:val="multilevel"/>
    <w:tmpl w:val="25802A60"/>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ind w:left="2160" w:hanging="360"/>
      </w:pPr>
      <w:rPr>
        <w:rFonts w:ascii="Wingdings" w:hAnsi="Wingdings" w:hint="default"/>
      </w:rPr>
    </w:lvl>
    <w:lvl w:ilvl="3">
      <w:start w:val="4"/>
      <w:numFmt w:val="bullet"/>
      <w:lvlText w:val=""/>
      <w:lvlJc w:val="left"/>
      <w:pPr>
        <w:ind w:left="2880" w:hanging="360"/>
      </w:pPr>
      <w:rPr>
        <w:rFonts w:ascii="Wingdings" w:eastAsia="Times New Roman" w:hAnsi="Wingdings" w:cs="Times New Roman" w:hint="default"/>
      </w:r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65E54B79"/>
    <w:multiLevelType w:val="hybridMultilevel"/>
    <w:tmpl w:val="0DCCA712"/>
    <w:lvl w:ilvl="0" w:tplc="04090017">
      <w:start w:val="1"/>
      <w:numFmt w:val="lowerLetter"/>
      <w:lvlText w:val="%1)"/>
      <w:lvlJc w:val="left"/>
      <w:pPr>
        <w:ind w:left="1210" w:hanging="360"/>
      </w:pPr>
    </w:lvl>
    <w:lvl w:ilvl="1" w:tplc="FFFFFFFF">
      <w:start w:val="1"/>
      <w:numFmt w:val="lowerLetter"/>
      <w:lvlText w:val="%2."/>
      <w:lvlJc w:val="left"/>
      <w:pPr>
        <w:ind w:left="2160" w:hanging="360"/>
      </w:pPr>
    </w:lvl>
    <w:lvl w:ilvl="2" w:tplc="FFFFFFFF">
      <w:start w:val="1"/>
      <w:numFmt w:val="lowerRoman"/>
      <w:lvlText w:val="%3."/>
      <w:lvlJc w:val="right"/>
      <w:pPr>
        <w:ind w:left="2880" w:hanging="180"/>
      </w:pPr>
    </w:lvl>
    <w:lvl w:ilvl="3" w:tplc="FFFFFFFF">
      <w:start w:val="1"/>
      <w:numFmt w:val="decimal"/>
      <w:lvlText w:val="%4."/>
      <w:lvlJc w:val="left"/>
      <w:pPr>
        <w:ind w:left="3600" w:hanging="360"/>
      </w:pPr>
    </w:lvl>
    <w:lvl w:ilvl="4" w:tplc="FFFFFFFF">
      <w:start w:val="1"/>
      <w:numFmt w:val="lowerLetter"/>
      <w:lvlText w:val="%5."/>
      <w:lvlJc w:val="left"/>
      <w:pPr>
        <w:ind w:left="4320" w:hanging="360"/>
      </w:pPr>
    </w:lvl>
    <w:lvl w:ilvl="5" w:tplc="FFFFFFFF">
      <w:start w:val="1"/>
      <w:numFmt w:val="lowerRoman"/>
      <w:lvlText w:val="%6."/>
      <w:lvlJc w:val="right"/>
      <w:pPr>
        <w:ind w:left="5040" w:hanging="180"/>
      </w:pPr>
    </w:lvl>
    <w:lvl w:ilvl="6" w:tplc="FFFFFFFF">
      <w:start w:val="1"/>
      <w:numFmt w:val="decimal"/>
      <w:lvlText w:val="%7."/>
      <w:lvlJc w:val="left"/>
      <w:pPr>
        <w:ind w:left="5760" w:hanging="360"/>
      </w:pPr>
    </w:lvl>
    <w:lvl w:ilvl="7" w:tplc="FFFFFFFF">
      <w:start w:val="1"/>
      <w:numFmt w:val="lowerLetter"/>
      <w:lvlText w:val="%8."/>
      <w:lvlJc w:val="left"/>
      <w:pPr>
        <w:ind w:left="6480" w:hanging="360"/>
      </w:pPr>
    </w:lvl>
    <w:lvl w:ilvl="8" w:tplc="FFFFFFFF">
      <w:start w:val="1"/>
      <w:numFmt w:val="lowerRoman"/>
      <w:lvlText w:val="%9."/>
      <w:lvlJc w:val="right"/>
      <w:pPr>
        <w:ind w:left="7200" w:hanging="180"/>
      </w:pPr>
    </w:lvl>
  </w:abstractNum>
  <w:abstractNum w:abstractNumId="12" w15:restartNumberingAfterBreak="0">
    <w:nsid w:val="676E45B2"/>
    <w:multiLevelType w:val="hybridMultilevel"/>
    <w:tmpl w:val="FC085DA0"/>
    <w:lvl w:ilvl="0" w:tplc="04090001">
      <w:start w:val="1"/>
      <w:numFmt w:val="bullet"/>
      <w:lvlText w:val=""/>
      <w:lvlJc w:val="left"/>
      <w:pPr>
        <w:ind w:left="2355" w:hanging="360"/>
      </w:pPr>
      <w:rPr>
        <w:rFonts w:ascii="Symbol" w:hAnsi="Symbol" w:hint="default"/>
      </w:rPr>
    </w:lvl>
    <w:lvl w:ilvl="1" w:tplc="04090003" w:tentative="1">
      <w:start w:val="1"/>
      <w:numFmt w:val="bullet"/>
      <w:lvlText w:val="o"/>
      <w:lvlJc w:val="left"/>
      <w:pPr>
        <w:ind w:left="3075" w:hanging="360"/>
      </w:pPr>
      <w:rPr>
        <w:rFonts w:ascii="Courier New" w:hAnsi="Courier New" w:cs="Courier New" w:hint="default"/>
      </w:rPr>
    </w:lvl>
    <w:lvl w:ilvl="2" w:tplc="04090005" w:tentative="1">
      <w:start w:val="1"/>
      <w:numFmt w:val="bullet"/>
      <w:lvlText w:val=""/>
      <w:lvlJc w:val="left"/>
      <w:pPr>
        <w:ind w:left="3795" w:hanging="360"/>
      </w:pPr>
      <w:rPr>
        <w:rFonts w:ascii="Wingdings" w:hAnsi="Wingdings" w:hint="default"/>
      </w:rPr>
    </w:lvl>
    <w:lvl w:ilvl="3" w:tplc="04090001" w:tentative="1">
      <w:start w:val="1"/>
      <w:numFmt w:val="bullet"/>
      <w:lvlText w:val=""/>
      <w:lvlJc w:val="left"/>
      <w:pPr>
        <w:ind w:left="4515" w:hanging="360"/>
      </w:pPr>
      <w:rPr>
        <w:rFonts w:ascii="Symbol" w:hAnsi="Symbol" w:hint="default"/>
      </w:rPr>
    </w:lvl>
    <w:lvl w:ilvl="4" w:tplc="04090003" w:tentative="1">
      <w:start w:val="1"/>
      <w:numFmt w:val="bullet"/>
      <w:lvlText w:val="o"/>
      <w:lvlJc w:val="left"/>
      <w:pPr>
        <w:ind w:left="5235" w:hanging="360"/>
      </w:pPr>
      <w:rPr>
        <w:rFonts w:ascii="Courier New" w:hAnsi="Courier New" w:cs="Courier New" w:hint="default"/>
      </w:rPr>
    </w:lvl>
    <w:lvl w:ilvl="5" w:tplc="04090005" w:tentative="1">
      <w:start w:val="1"/>
      <w:numFmt w:val="bullet"/>
      <w:lvlText w:val=""/>
      <w:lvlJc w:val="left"/>
      <w:pPr>
        <w:ind w:left="5955" w:hanging="360"/>
      </w:pPr>
      <w:rPr>
        <w:rFonts w:ascii="Wingdings" w:hAnsi="Wingdings" w:hint="default"/>
      </w:rPr>
    </w:lvl>
    <w:lvl w:ilvl="6" w:tplc="04090001" w:tentative="1">
      <w:start w:val="1"/>
      <w:numFmt w:val="bullet"/>
      <w:lvlText w:val=""/>
      <w:lvlJc w:val="left"/>
      <w:pPr>
        <w:ind w:left="6675" w:hanging="360"/>
      </w:pPr>
      <w:rPr>
        <w:rFonts w:ascii="Symbol" w:hAnsi="Symbol" w:hint="default"/>
      </w:rPr>
    </w:lvl>
    <w:lvl w:ilvl="7" w:tplc="04090003" w:tentative="1">
      <w:start w:val="1"/>
      <w:numFmt w:val="bullet"/>
      <w:lvlText w:val="o"/>
      <w:lvlJc w:val="left"/>
      <w:pPr>
        <w:ind w:left="7395" w:hanging="360"/>
      </w:pPr>
      <w:rPr>
        <w:rFonts w:ascii="Courier New" w:hAnsi="Courier New" w:cs="Courier New" w:hint="default"/>
      </w:rPr>
    </w:lvl>
    <w:lvl w:ilvl="8" w:tplc="04090005" w:tentative="1">
      <w:start w:val="1"/>
      <w:numFmt w:val="bullet"/>
      <w:lvlText w:val=""/>
      <w:lvlJc w:val="left"/>
      <w:pPr>
        <w:ind w:left="8115" w:hanging="360"/>
      </w:pPr>
      <w:rPr>
        <w:rFonts w:ascii="Wingdings" w:hAnsi="Wingdings" w:hint="default"/>
      </w:rPr>
    </w:lvl>
  </w:abstractNum>
  <w:abstractNum w:abstractNumId="13" w15:restartNumberingAfterBreak="0">
    <w:nsid w:val="67FB5F2B"/>
    <w:multiLevelType w:val="hybridMultilevel"/>
    <w:tmpl w:val="97563E8E"/>
    <w:lvl w:ilvl="0" w:tplc="04090003">
      <w:start w:val="1"/>
      <w:numFmt w:val="bullet"/>
      <w:lvlText w:val="o"/>
      <w:lvlJc w:val="left"/>
      <w:pPr>
        <w:ind w:left="1890" w:hanging="360"/>
      </w:pPr>
      <w:rPr>
        <w:rFonts w:ascii="Courier New" w:hAnsi="Courier New" w:cs="Courier New" w:hint="default"/>
      </w:rPr>
    </w:lvl>
    <w:lvl w:ilvl="1" w:tplc="04090003" w:tentative="1">
      <w:start w:val="1"/>
      <w:numFmt w:val="bullet"/>
      <w:lvlText w:val="o"/>
      <w:lvlJc w:val="left"/>
      <w:pPr>
        <w:ind w:left="2610" w:hanging="360"/>
      </w:pPr>
      <w:rPr>
        <w:rFonts w:ascii="Courier New" w:hAnsi="Courier New" w:cs="Courier New" w:hint="default"/>
      </w:rPr>
    </w:lvl>
    <w:lvl w:ilvl="2" w:tplc="04090005" w:tentative="1">
      <w:start w:val="1"/>
      <w:numFmt w:val="bullet"/>
      <w:lvlText w:val=""/>
      <w:lvlJc w:val="left"/>
      <w:pPr>
        <w:ind w:left="3330" w:hanging="360"/>
      </w:pPr>
      <w:rPr>
        <w:rFonts w:ascii="Wingdings" w:hAnsi="Wingdings" w:hint="default"/>
      </w:rPr>
    </w:lvl>
    <w:lvl w:ilvl="3" w:tplc="04090001" w:tentative="1">
      <w:start w:val="1"/>
      <w:numFmt w:val="bullet"/>
      <w:lvlText w:val=""/>
      <w:lvlJc w:val="left"/>
      <w:pPr>
        <w:ind w:left="4050" w:hanging="360"/>
      </w:pPr>
      <w:rPr>
        <w:rFonts w:ascii="Symbol" w:hAnsi="Symbol" w:hint="default"/>
      </w:rPr>
    </w:lvl>
    <w:lvl w:ilvl="4" w:tplc="04090003" w:tentative="1">
      <w:start w:val="1"/>
      <w:numFmt w:val="bullet"/>
      <w:lvlText w:val="o"/>
      <w:lvlJc w:val="left"/>
      <w:pPr>
        <w:ind w:left="4770" w:hanging="360"/>
      </w:pPr>
      <w:rPr>
        <w:rFonts w:ascii="Courier New" w:hAnsi="Courier New" w:cs="Courier New" w:hint="default"/>
      </w:rPr>
    </w:lvl>
    <w:lvl w:ilvl="5" w:tplc="04090005" w:tentative="1">
      <w:start w:val="1"/>
      <w:numFmt w:val="bullet"/>
      <w:lvlText w:val=""/>
      <w:lvlJc w:val="left"/>
      <w:pPr>
        <w:ind w:left="5490" w:hanging="360"/>
      </w:pPr>
      <w:rPr>
        <w:rFonts w:ascii="Wingdings" w:hAnsi="Wingdings" w:hint="default"/>
      </w:rPr>
    </w:lvl>
    <w:lvl w:ilvl="6" w:tplc="04090001" w:tentative="1">
      <w:start w:val="1"/>
      <w:numFmt w:val="bullet"/>
      <w:lvlText w:val=""/>
      <w:lvlJc w:val="left"/>
      <w:pPr>
        <w:ind w:left="6210" w:hanging="360"/>
      </w:pPr>
      <w:rPr>
        <w:rFonts w:ascii="Symbol" w:hAnsi="Symbol" w:hint="default"/>
      </w:rPr>
    </w:lvl>
    <w:lvl w:ilvl="7" w:tplc="04090003" w:tentative="1">
      <w:start w:val="1"/>
      <w:numFmt w:val="bullet"/>
      <w:lvlText w:val="o"/>
      <w:lvlJc w:val="left"/>
      <w:pPr>
        <w:ind w:left="6930" w:hanging="360"/>
      </w:pPr>
      <w:rPr>
        <w:rFonts w:ascii="Courier New" w:hAnsi="Courier New" w:cs="Courier New" w:hint="default"/>
      </w:rPr>
    </w:lvl>
    <w:lvl w:ilvl="8" w:tplc="04090005" w:tentative="1">
      <w:start w:val="1"/>
      <w:numFmt w:val="bullet"/>
      <w:lvlText w:val=""/>
      <w:lvlJc w:val="left"/>
      <w:pPr>
        <w:ind w:left="7650" w:hanging="360"/>
      </w:pPr>
      <w:rPr>
        <w:rFonts w:ascii="Wingdings" w:hAnsi="Wingdings" w:hint="default"/>
      </w:rPr>
    </w:lvl>
  </w:abstractNum>
  <w:abstractNum w:abstractNumId="14" w15:restartNumberingAfterBreak="0">
    <w:nsid w:val="6A726017"/>
    <w:multiLevelType w:val="hybridMultilevel"/>
    <w:tmpl w:val="7F8EE2C8"/>
    <w:lvl w:ilvl="0" w:tplc="C742DFF4">
      <w:start w:val="1"/>
      <w:numFmt w:val="bullet"/>
      <w:lvlText w:val=""/>
      <w:lvlJc w:val="left"/>
      <w:pPr>
        <w:ind w:left="1930" w:hanging="360"/>
      </w:pPr>
      <w:rPr>
        <w:rFonts w:ascii="Symbol" w:hAnsi="Symbol" w:hint="default"/>
      </w:rPr>
    </w:lvl>
    <w:lvl w:ilvl="1" w:tplc="C742DFF4">
      <w:start w:val="1"/>
      <w:numFmt w:val="bullet"/>
      <w:lvlText w:val=""/>
      <w:lvlJc w:val="left"/>
      <w:pPr>
        <w:ind w:left="1440" w:hanging="360"/>
      </w:pPr>
      <w:rPr>
        <w:rFonts w:ascii="Symbol" w:hAnsi="Symbol" w:hint="default"/>
      </w:rPr>
    </w:lvl>
    <w:lvl w:ilvl="2" w:tplc="08130005">
      <w:start w:val="1"/>
      <w:numFmt w:val="bullet"/>
      <w:lvlText w:val=""/>
      <w:lvlJc w:val="left"/>
      <w:pPr>
        <w:ind w:left="2160" w:hanging="360"/>
      </w:pPr>
      <w:rPr>
        <w:rFonts w:ascii="Wingdings" w:hAnsi="Wingdings" w:hint="default"/>
      </w:rPr>
    </w:lvl>
    <w:lvl w:ilvl="3" w:tplc="08130001">
      <w:start w:val="1"/>
      <w:numFmt w:val="bullet"/>
      <w:lvlText w:val=""/>
      <w:lvlJc w:val="left"/>
      <w:pPr>
        <w:ind w:left="2880" w:hanging="360"/>
      </w:pPr>
      <w:rPr>
        <w:rFonts w:ascii="Symbol" w:hAnsi="Symbol" w:hint="default"/>
      </w:rPr>
    </w:lvl>
    <w:lvl w:ilvl="4" w:tplc="08130003">
      <w:start w:val="1"/>
      <w:numFmt w:val="bullet"/>
      <w:lvlText w:val="o"/>
      <w:lvlJc w:val="left"/>
      <w:pPr>
        <w:ind w:left="3600" w:hanging="360"/>
      </w:pPr>
      <w:rPr>
        <w:rFonts w:ascii="Courier New" w:hAnsi="Courier New" w:cs="Courier New" w:hint="default"/>
      </w:rPr>
    </w:lvl>
    <w:lvl w:ilvl="5" w:tplc="08130005">
      <w:start w:val="1"/>
      <w:numFmt w:val="bullet"/>
      <w:lvlText w:val=""/>
      <w:lvlJc w:val="left"/>
      <w:pPr>
        <w:ind w:left="4320" w:hanging="360"/>
      </w:pPr>
      <w:rPr>
        <w:rFonts w:ascii="Wingdings" w:hAnsi="Wingdings" w:hint="default"/>
      </w:rPr>
    </w:lvl>
    <w:lvl w:ilvl="6" w:tplc="08130001">
      <w:start w:val="1"/>
      <w:numFmt w:val="bullet"/>
      <w:lvlText w:val=""/>
      <w:lvlJc w:val="left"/>
      <w:pPr>
        <w:ind w:left="5040" w:hanging="360"/>
      </w:pPr>
      <w:rPr>
        <w:rFonts w:ascii="Symbol" w:hAnsi="Symbol" w:hint="default"/>
      </w:rPr>
    </w:lvl>
    <w:lvl w:ilvl="7" w:tplc="08130003">
      <w:start w:val="1"/>
      <w:numFmt w:val="bullet"/>
      <w:lvlText w:val="o"/>
      <w:lvlJc w:val="left"/>
      <w:pPr>
        <w:ind w:left="5760" w:hanging="360"/>
      </w:pPr>
      <w:rPr>
        <w:rFonts w:ascii="Courier New" w:hAnsi="Courier New" w:cs="Courier New" w:hint="default"/>
      </w:rPr>
    </w:lvl>
    <w:lvl w:ilvl="8" w:tplc="08130005">
      <w:start w:val="1"/>
      <w:numFmt w:val="bullet"/>
      <w:lvlText w:val=""/>
      <w:lvlJc w:val="left"/>
      <w:pPr>
        <w:ind w:left="6480" w:hanging="360"/>
      </w:pPr>
      <w:rPr>
        <w:rFonts w:ascii="Wingdings" w:hAnsi="Wingdings" w:hint="default"/>
      </w:rPr>
    </w:lvl>
  </w:abstractNum>
  <w:abstractNum w:abstractNumId="15" w15:restartNumberingAfterBreak="0">
    <w:nsid w:val="6B480825"/>
    <w:multiLevelType w:val="hybridMultilevel"/>
    <w:tmpl w:val="2688A99C"/>
    <w:lvl w:ilvl="0" w:tplc="08130015">
      <w:start w:val="1"/>
      <w:numFmt w:val="upperLetter"/>
      <w:lvlText w:val="%1."/>
      <w:lvlJc w:val="left"/>
      <w:pPr>
        <w:ind w:left="720" w:hanging="360"/>
      </w:pPr>
    </w:lvl>
    <w:lvl w:ilvl="1" w:tplc="08130019">
      <w:start w:val="1"/>
      <w:numFmt w:val="lowerLetter"/>
      <w:lvlText w:val="%2."/>
      <w:lvlJc w:val="left"/>
      <w:pPr>
        <w:ind w:left="1440" w:hanging="360"/>
      </w:pPr>
    </w:lvl>
    <w:lvl w:ilvl="2" w:tplc="0813001B">
      <w:start w:val="1"/>
      <w:numFmt w:val="lowerRoman"/>
      <w:lvlText w:val="%3."/>
      <w:lvlJc w:val="right"/>
      <w:pPr>
        <w:ind w:left="2160" w:hanging="180"/>
      </w:pPr>
    </w:lvl>
    <w:lvl w:ilvl="3" w:tplc="0813000F">
      <w:start w:val="1"/>
      <w:numFmt w:val="decimal"/>
      <w:lvlText w:val="%4."/>
      <w:lvlJc w:val="left"/>
      <w:pPr>
        <w:ind w:left="2880" w:hanging="360"/>
      </w:pPr>
    </w:lvl>
    <w:lvl w:ilvl="4" w:tplc="08130019">
      <w:start w:val="1"/>
      <w:numFmt w:val="lowerLetter"/>
      <w:lvlText w:val="%5."/>
      <w:lvlJc w:val="left"/>
      <w:pPr>
        <w:ind w:left="3600" w:hanging="360"/>
      </w:pPr>
    </w:lvl>
    <w:lvl w:ilvl="5" w:tplc="0813001B">
      <w:start w:val="1"/>
      <w:numFmt w:val="lowerRoman"/>
      <w:lvlText w:val="%6."/>
      <w:lvlJc w:val="right"/>
      <w:pPr>
        <w:ind w:left="4320" w:hanging="180"/>
      </w:pPr>
    </w:lvl>
    <w:lvl w:ilvl="6" w:tplc="0813000F">
      <w:start w:val="1"/>
      <w:numFmt w:val="decimal"/>
      <w:lvlText w:val="%7."/>
      <w:lvlJc w:val="left"/>
      <w:pPr>
        <w:ind w:left="5040" w:hanging="360"/>
      </w:pPr>
    </w:lvl>
    <w:lvl w:ilvl="7" w:tplc="08130019">
      <w:start w:val="1"/>
      <w:numFmt w:val="lowerLetter"/>
      <w:lvlText w:val="%8."/>
      <w:lvlJc w:val="left"/>
      <w:pPr>
        <w:ind w:left="5760" w:hanging="360"/>
      </w:pPr>
    </w:lvl>
    <w:lvl w:ilvl="8" w:tplc="0813001B">
      <w:start w:val="1"/>
      <w:numFmt w:val="lowerRoman"/>
      <w:lvlText w:val="%9."/>
      <w:lvlJc w:val="right"/>
      <w:pPr>
        <w:ind w:left="6480" w:hanging="180"/>
      </w:pPr>
    </w:lvl>
  </w:abstractNum>
  <w:abstractNum w:abstractNumId="16" w15:restartNumberingAfterBreak="0">
    <w:nsid w:val="7D213356"/>
    <w:multiLevelType w:val="hybridMultilevel"/>
    <w:tmpl w:val="E0384BE8"/>
    <w:lvl w:ilvl="0" w:tplc="04090017">
      <w:start w:val="1"/>
      <w:numFmt w:val="lowerLetter"/>
      <w:lvlText w:val="%1)"/>
      <w:lvlJc w:val="left"/>
      <w:pPr>
        <w:ind w:left="1210" w:hanging="360"/>
      </w:pPr>
    </w:lvl>
    <w:lvl w:ilvl="1" w:tplc="08130019">
      <w:start w:val="1"/>
      <w:numFmt w:val="lowerLetter"/>
      <w:lvlText w:val="%2."/>
      <w:lvlJc w:val="left"/>
      <w:pPr>
        <w:ind w:left="2160" w:hanging="360"/>
      </w:pPr>
    </w:lvl>
    <w:lvl w:ilvl="2" w:tplc="0813001B">
      <w:start w:val="1"/>
      <w:numFmt w:val="lowerRoman"/>
      <w:lvlText w:val="%3."/>
      <w:lvlJc w:val="right"/>
      <w:pPr>
        <w:ind w:left="2880" w:hanging="180"/>
      </w:pPr>
    </w:lvl>
    <w:lvl w:ilvl="3" w:tplc="0813000F">
      <w:start w:val="1"/>
      <w:numFmt w:val="decimal"/>
      <w:lvlText w:val="%4."/>
      <w:lvlJc w:val="left"/>
      <w:pPr>
        <w:ind w:left="3600" w:hanging="360"/>
      </w:pPr>
    </w:lvl>
    <w:lvl w:ilvl="4" w:tplc="08130019">
      <w:start w:val="1"/>
      <w:numFmt w:val="lowerLetter"/>
      <w:lvlText w:val="%5."/>
      <w:lvlJc w:val="left"/>
      <w:pPr>
        <w:ind w:left="4320" w:hanging="360"/>
      </w:pPr>
    </w:lvl>
    <w:lvl w:ilvl="5" w:tplc="0813001B">
      <w:start w:val="1"/>
      <w:numFmt w:val="lowerRoman"/>
      <w:lvlText w:val="%6."/>
      <w:lvlJc w:val="right"/>
      <w:pPr>
        <w:ind w:left="5040" w:hanging="180"/>
      </w:pPr>
    </w:lvl>
    <w:lvl w:ilvl="6" w:tplc="0813000F">
      <w:start w:val="1"/>
      <w:numFmt w:val="decimal"/>
      <w:lvlText w:val="%7."/>
      <w:lvlJc w:val="left"/>
      <w:pPr>
        <w:ind w:left="5760" w:hanging="360"/>
      </w:pPr>
    </w:lvl>
    <w:lvl w:ilvl="7" w:tplc="08130019">
      <w:start w:val="1"/>
      <w:numFmt w:val="lowerLetter"/>
      <w:lvlText w:val="%8."/>
      <w:lvlJc w:val="left"/>
      <w:pPr>
        <w:ind w:left="6480" w:hanging="360"/>
      </w:pPr>
    </w:lvl>
    <w:lvl w:ilvl="8" w:tplc="0813001B">
      <w:start w:val="1"/>
      <w:numFmt w:val="lowerRoman"/>
      <w:lvlText w:val="%9."/>
      <w:lvlJc w:val="right"/>
      <w:pPr>
        <w:ind w:left="7200" w:hanging="180"/>
      </w:pPr>
    </w:lvl>
  </w:abstractNum>
  <w:abstractNum w:abstractNumId="17" w15:restartNumberingAfterBreak="0">
    <w:nsid w:val="7F7C0D51"/>
    <w:multiLevelType w:val="hybridMultilevel"/>
    <w:tmpl w:val="FB2ED806"/>
    <w:lvl w:ilvl="0" w:tplc="FFFFFFFF">
      <w:start w:val="1"/>
      <w:numFmt w:val="bullet"/>
      <w:lvlText w:val=""/>
      <w:lvlJc w:val="left"/>
      <w:pPr>
        <w:tabs>
          <w:tab w:val="num" w:pos="644"/>
        </w:tabs>
        <w:ind w:left="624" w:hanging="340"/>
      </w:pPr>
      <w:rPr>
        <w:rFonts w:ascii="Wingdings" w:hAnsi="Wingdings" w:hint="default"/>
        <w:sz w:val="16"/>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16cid:durableId="2023891057">
    <w:abstractNumId w:val="17"/>
  </w:num>
  <w:num w:numId="2" w16cid:durableId="1713387074">
    <w:abstractNumId w:val="0"/>
  </w:num>
  <w:num w:numId="3" w16cid:durableId="349766972">
    <w:abstractNumId w:val="0"/>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616213710">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659238291">
    <w:abstractNumId w:val="16"/>
  </w:num>
  <w:num w:numId="6" w16cid:durableId="1656374823">
    <w:abstractNumId w:val="8"/>
  </w:num>
  <w:num w:numId="7" w16cid:durableId="96619911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282541962">
    <w:abstractNumId w:val="1"/>
  </w:num>
  <w:num w:numId="9" w16cid:durableId="1101416872">
    <w:abstractNumId w:val="14"/>
  </w:num>
  <w:num w:numId="10" w16cid:durableId="503086137">
    <w:abstractNumId w:val="11"/>
  </w:num>
  <w:num w:numId="11" w16cid:durableId="791098041">
    <w:abstractNumId w:val="15"/>
  </w:num>
  <w:num w:numId="12" w16cid:durableId="580987909">
    <w:abstractNumId w:val="12"/>
  </w:num>
  <w:num w:numId="13" w16cid:durableId="1392389202">
    <w:abstractNumId w:val="2"/>
  </w:num>
  <w:num w:numId="14" w16cid:durableId="1357193223">
    <w:abstractNumId w:val="13"/>
  </w:num>
  <w:num w:numId="15" w16cid:durableId="2137915795">
    <w:abstractNumId w:val="3"/>
  </w:num>
  <w:num w:numId="16" w16cid:durableId="1331105022">
    <w:abstractNumId w:val="4"/>
  </w:num>
  <w:num w:numId="17" w16cid:durableId="930429587">
    <w:abstractNumId w:val="5"/>
  </w:num>
  <w:num w:numId="18" w16cid:durableId="32779937">
    <w:abstractNumId w:val="9"/>
  </w:num>
  <w:num w:numId="19" w16cid:durableId="2073656952">
    <w:abstractNumId w:val="10"/>
  </w:num>
  <w:num w:numId="20" w16cid:durableId="1622152405">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8"/>
  <w:displayBackgroundShape/>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B573D"/>
    <w:rsid w:val="000A170C"/>
    <w:rsid w:val="000C2B93"/>
    <w:rsid w:val="00105F03"/>
    <w:rsid w:val="0014275B"/>
    <w:rsid w:val="00147942"/>
    <w:rsid w:val="00217576"/>
    <w:rsid w:val="00267DCF"/>
    <w:rsid w:val="00274DC6"/>
    <w:rsid w:val="002C28DD"/>
    <w:rsid w:val="00364805"/>
    <w:rsid w:val="003B1EB5"/>
    <w:rsid w:val="003D1682"/>
    <w:rsid w:val="00406A25"/>
    <w:rsid w:val="004500AD"/>
    <w:rsid w:val="004A1F84"/>
    <w:rsid w:val="004B2938"/>
    <w:rsid w:val="004E1749"/>
    <w:rsid w:val="00571D39"/>
    <w:rsid w:val="0057784F"/>
    <w:rsid w:val="00581CE4"/>
    <w:rsid w:val="00586117"/>
    <w:rsid w:val="00597CEE"/>
    <w:rsid w:val="005D04C0"/>
    <w:rsid w:val="00615CB0"/>
    <w:rsid w:val="006224F1"/>
    <w:rsid w:val="00656B5D"/>
    <w:rsid w:val="006572B0"/>
    <w:rsid w:val="006601C8"/>
    <w:rsid w:val="0066596E"/>
    <w:rsid w:val="00667DF5"/>
    <w:rsid w:val="00672A63"/>
    <w:rsid w:val="006A7AB6"/>
    <w:rsid w:val="006D534E"/>
    <w:rsid w:val="006E6A81"/>
    <w:rsid w:val="007250B6"/>
    <w:rsid w:val="0073760D"/>
    <w:rsid w:val="007A44D9"/>
    <w:rsid w:val="007D5A21"/>
    <w:rsid w:val="00831792"/>
    <w:rsid w:val="008770E1"/>
    <w:rsid w:val="00895480"/>
    <w:rsid w:val="008E6995"/>
    <w:rsid w:val="009A1A87"/>
    <w:rsid w:val="00A14B16"/>
    <w:rsid w:val="00A44465"/>
    <w:rsid w:val="00A83CDC"/>
    <w:rsid w:val="00A8661A"/>
    <w:rsid w:val="00AB74EE"/>
    <w:rsid w:val="00AE083B"/>
    <w:rsid w:val="00BA0420"/>
    <w:rsid w:val="00C4005E"/>
    <w:rsid w:val="00C515BB"/>
    <w:rsid w:val="00C6363E"/>
    <w:rsid w:val="00CC379D"/>
    <w:rsid w:val="00D12AFA"/>
    <w:rsid w:val="00D536A0"/>
    <w:rsid w:val="00D95631"/>
    <w:rsid w:val="00DA7478"/>
    <w:rsid w:val="00DF7E12"/>
    <w:rsid w:val="00E03FF9"/>
    <w:rsid w:val="00E20CA8"/>
    <w:rsid w:val="00E90A25"/>
    <w:rsid w:val="00E946DF"/>
    <w:rsid w:val="00EA447E"/>
    <w:rsid w:val="00ED59D4"/>
    <w:rsid w:val="00F313B5"/>
    <w:rsid w:val="00F37425"/>
    <w:rsid w:val="00FB57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C4B385B"/>
  <w15:chartTrackingRefBased/>
  <w15:docId w15:val="{58D29B99-B430-4B23-BE97-BC01553587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Verdana" w:hAnsi="Verdana"/>
      <w:sz w:val="22"/>
      <w:szCs w:val="24"/>
      <w:lang w:val="fr-BE" w:eastAsia="en-GB"/>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extedebulles">
    <w:name w:val="Balloon Text"/>
    <w:basedOn w:val="Normal"/>
    <w:link w:val="TextedebullesCar"/>
    <w:rsid w:val="00672A63"/>
    <w:rPr>
      <w:rFonts w:ascii="Segoe UI" w:hAnsi="Segoe UI" w:cs="Segoe UI"/>
      <w:sz w:val="18"/>
      <w:szCs w:val="18"/>
    </w:rPr>
  </w:style>
  <w:style w:type="character" w:customStyle="1" w:styleId="TextedebullesCar">
    <w:name w:val="Texte de bulles Car"/>
    <w:link w:val="Textedebulles"/>
    <w:rsid w:val="00672A63"/>
    <w:rPr>
      <w:rFonts w:ascii="Segoe UI" w:hAnsi="Segoe UI" w:cs="Segoe UI"/>
      <w:sz w:val="18"/>
      <w:szCs w:val="18"/>
      <w:lang w:val="fr-BE" w:eastAsia="en-GB"/>
    </w:rPr>
  </w:style>
  <w:style w:type="paragraph" w:customStyle="1" w:styleId="Default">
    <w:name w:val="Default"/>
    <w:rsid w:val="00AB74EE"/>
    <w:pPr>
      <w:autoSpaceDE w:val="0"/>
      <w:autoSpaceDN w:val="0"/>
      <w:adjustRightInd w:val="0"/>
    </w:pPr>
    <w:rPr>
      <w:color w:val="000000"/>
      <w:sz w:val="24"/>
      <w:szCs w:val="24"/>
    </w:rPr>
  </w:style>
  <w:style w:type="character" w:styleId="Lienhypertexte">
    <w:name w:val="Hyperlink"/>
    <w:basedOn w:val="Policepardfaut"/>
    <w:rsid w:val="00AB74EE"/>
    <w:rPr>
      <w:color w:val="0563C1" w:themeColor="hyperlink"/>
      <w:u w:val="single"/>
    </w:rPr>
  </w:style>
  <w:style w:type="character" w:styleId="Mentionnonrsolue">
    <w:name w:val="Unresolved Mention"/>
    <w:basedOn w:val="Policepardfaut"/>
    <w:uiPriority w:val="99"/>
    <w:semiHidden/>
    <w:unhideWhenUsed/>
    <w:rsid w:val="00AB74EE"/>
    <w:rPr>
      <w:color w:val="605E5C"/>
      <w:shd w:val="clear" w:color="auto" w:fill="E1DFDD"/>
    </w:rPr>
  </w:style>
  <w:style w:type="paragraph" w:styleId="Paragraphedeliste">
    <w:name w:val="List Paragraph"/>
    <w:basedOn w:val="Normal"/>
    <w:uiPriority w:val="34"/>
    <w:qFormat/>
    <w:rsid w:val="000A170C"/>
    <w:pPr>
      <w:spacing w:after="160" w:line="278" w:lineRule="auto"/>
      <w:ind w:left="720"/>
      <w:contextualSpacing/>
    </w:pPr>
    <w:rPr>
      <w:rFonts w:asciiTheme="minorHAnsi" w:eastAsiaTheme="minorHAnsi" w:hAnsiTheme="minorHAnsi" w:cstheme="minorBidi"/>
      <w:kern w:val="2"/>
      <w:sz w:val="24"/>
      <w:lang w:val="en-US" w:eastAsia="en-US"/>
      <w14:ligatures w14:val="standardContextual"/>
    </w:rPr>
  </w:style>
  <w:style w:type="character" w:styleId="Lienhypertextesuivivisit">
    <w:name w:val="FollowedHyperlink"/>
    <w:basedOn w:val="Policepardfaut"/>
    <w:rsid w:val="00895480"/>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60617856">
      <w:bodyDiv w:val="1"/>
      <w:marLeft w:val="0"/>
      <w:marRight w:val="0"/>
      <w:marTop w:val="0"/>
      <w:marBottom w:val="0"/>
      <w:divBdr>
        <w:top w:val="none" w:sz="0" w:space="0" w:color="auto"/>
        <w:left w:val="none" w:sz="0" w:space="0" w:color="auto"/>
        <w:bottom w:val="none" w:sz="0" w:space="0" w:color="auto"/>
        <w:right w:val="none" w:sz="0" w:space="0" w:color="auto"/>
      </w:divBdr>
    </w:div>
    <w:div w:id="1659504556">
      <w:bodyDiv w:val="1"/>
      <w:marLeft w:val="0"/>
      <w:marRight w:val="0"/>
      <w:marTop w:val="0"/>
      <w:marBottom w:val="0"/>
      <w:divBdr>
        <w:top w:val="none" w:sz="0" w:space="0" w:color="auto"/>
        <w:left w:val="none" w:sz="0" w:space="0" w:color="auto"/>
        <w:bottom w:val="none" w:sz="0" w:space="0" w:color="auto"/>
        <w:right w:val="none" w:sz="0" w:space="0" w:color="auto"/>
      </w:divBdr>
    </w:div>
    <w:div w:id="21043020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hyperlink" Target="https://www.sfpd.fgov.be/fr/changements/reforme-des-pension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sfpd.fgov.be/files/3354/d%C3%A9claration-du-formateur_2025-2029_pensions.pdf" TargetMode="External"/><Relationship Id="rId5" Type="http://schemas.openxmlformats.org/officeDocument/2006/relationships/image" Target="media/image1.jpe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965</Words>
  <Characters>5210</Characters>
  <Application>Microsoft Office Word</Application>
  <DocSecurity>0</DocSecurity>
  <Lines>192</Lines>
  <Paragraphs>205</Paragraphs>
  <ScaleCrop>false</ScaleCrop>
  <HeadingPairs>
    <vt:vector size="4" baseType="variant">
      <vt:variant>
        <vt:lpstr>Titre</vt:lpstr>
      </vt:variant>
      <vt:variant>
        <vt:i4>1</vt:i4>
      </vt:variant>
      <vt:variant>
        <vt:lpstr>Titel</vt:lpstr>
      </vt:variant>
      <vt:variant>
        <vt:i4>1</vt:i4>
      </vt:variant>
    </vt:vector>
  </HeadingPairs>
  <TitlesOfParts>
    <vt:vector size="2" baseType="lpstr">
      <vt:lpstr> </vt:lpstr>
      <vt:lpstr> </vt:lpstr>
    </vt:vector>
  </TitlesOfParts>
  <Company>FOD Sociale Zekerheid / SPF Sécurité Sociale</Company>
  <LinksUpToDate>false</LinksUpToDate>
  <CharactersWithSpaces>5970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Tresegnie Daniel</dc:creator>
  <cp:keywords/>
  <dc:description/>
  <cp:lastModifiedBy>Duchenne Véronique</cp:lastModifiedBy>
  <cp:revision>2</cp:revision>
  <dcterms:created xsi:type="dcterms:W3CDTF">2025-11-12T13:15:00Z</dcterms:created>
  <dcterms:modified xsi:type="dcterms:W3CDTF">2025-11-12T13:15:00Z</dcterms:modified>
</cp:coreProperties>
</file>