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3AD3D" w14:textId="45BEA834" w:rsidR="00155584" w:rsidRPr="007C229B" w:rsidRDefault="00155584" w:rsidP="00537BED">
      <w:pPr>
        <w:pStyle w:val="Titre"/>
        <w:pBdr>
          <w:top w:val="single" w:sz="12" w:space="1" w:color="002060"/>
          <w:bottom w:val="single" w:sz="12" w:space="10" w:color="002060"/>
        </w:pBdr>
        <w:spacing w:before="3960"/>
        <w:rPr>
          <w:color w:val="002060"/>
          <w:szCs w:val="24"/>
        </w:rPr>
      </w:pPr>
      <w:r w:rsidRPr="00C44DC8">
        <w:rPr>
          <w:color w:val="002060"/>
        </w:rPr>
        <w:t>Projet</w:t>
      </w:r>
      <w:r w:rsidRPr="007C229B">
        <w:rPr>
          <w:color w:val="002060"/>
        </w:rPr>
        <w:br/>
        <w:t>AVIS</w:t>
      </w:r>
      <w:r w:rsidR="00527DF7" w:rsidRPr="007C229B">
        <w:rPr>
          <w:color w:val="002060"/>
        </w:rPr>
        <w:t xml:space="preserve"> D’INITIATIVE</w:t>
      </w:r>
    </w:p>
    <w:p w14:paraId="4909C83D" w14:textId="0EF3EE12" w:rsidR="00155584" w:rsidRPr="007C229B" w:rsidRDefault="00FD7F96" w:rsidP="00023745">
      <w:pPr>
        <w:pStyle w:val="Sous-titre"/>
        <w:pBdr>
          <w:top w:val="single" w:sz="12" w:space="1" w:color="002060"/>
          <w:bottom w:val="single" w:sz="12" w:space="10" w:color="002060"/>
        </w:pBdr>
        <w:rPr>
          <w:color w:val="002060"/>
        </w:rPr>
      </w:pPr>
      <w:r>
        <w:rPr>
          <w:color w:val="002060"/>
        </w:rPr>
        <w:t xml:space="preserve">Impact des réformes fédérales en matière d’emploi sur les personnes en situation de handicap </w:t>
      </w:r>
    </w:p>
    <w:p w14:paraId="1753A627" w14:textId="77777777" w:rsidR="001E18B5" w:rsidRDefault="001E18B5" w:rsidP="001E18B5"/>
    <w:p w14:paraId="36C792DC" w14:textId="637C572A" w:rsidR="00155584" w:rsidRPr="005A4BDD" w:rsidRDefault="005A4BDD" w:rsidP="005A4BDD">
      <w:pPr>
        <w:jc w:val="center"/>
        <w:rPr>
          <w:rFonts w:asciiTheme="minorHAnsi" w:hAnsiTheme="minorHAnsi" w:cstheme="minorHAnsi"/>
          <w:b/>
          <w:bCs/>
          <w:sz w:val="44"/>
          <w:szCs w:val="44"/>
        </w:rPr>
      </w:pPr>
      <w:r w:rsidRPr="005A4BDD">
        <w:rPr>
          <w:b/>
          <w:bCs/>
          <w:sz w:val="36"/>
          <w:szCs w:val="36"/>
          <w:highlight w:val="yellow"/>
        </w:rPr>
        <w:t>Avis adopté par la Plateforme des conseils consultatifs des personnes en situation de handicap le XXX</w:t>
      </w:r>
    </w:p>
    <w:p w14:paraId="2159CE80" w14:textId="77777777" w:rsidR="00155584" w:rsidRPr="00B80792" w:rsidRDefault="00155584" w:rsidP="00155584">
      <w:pPr>
        <w:spacing w:before="0" w:after="200" w:line="276" w:lineRule="auto"/>
        <w:jc w:val="left"/>
        <w:rPr>
          <w:rFonts w:asciiTheme="minorHAnsi" w:hAnsiTheme="minorHAnsi" w:cstheme="minorHAnsi"/>
          <w:sz w:val="28"/>
          <w:szCs w:val="28"/>
        </w:rPr>
      </w:pPr>
    </w:p>
    <w:p w14:paraId="0D53D068" w14:textId="77777777" w:rsidR="00155584" w:rsidRDefault="00155584" w:rsidP="00155584">
      <w:pPr>
        <w:spacing w:before="0" w:after="200" w:line="276" w:lineRule="auto"/>
        <w:jc w:val="left"/>
        <w:rPr>
          <w:rFonts w:asciiTheme="minorHAnsi" w:hAnsiTheme="minorHAnsi" w:cstheme="minorHAnsi"/>
          <w:sz w:val="28"/>
          <w:szCs w:val="28"/>
        </w:rPr>
      </w:pPr>
    </w:p>
    <w:p w14:paraId="636ED955" w14:textId="77777777" w:rsidR="001E18B5" w:rsidRPr="00B80792" w:rsidRDefault="001E18B5" w:rsidP="00155584">
      <w:pPr>
        <w:spacing w:before="0" w:after="200" w:line="276" w:lineRule="auto"/>
        <w:jc w:val="left"/>
        <w:rPr>
          <w:rFonts w:asciiTheme="minorHAnsi" w:hAnsiTheme="minorHAnsi" w:cstheme="minorHAnsi"/>
          <w:sz w:val="28"/>
          <w:szCs w:val="28"/>
        </w:rPr>
      </w:pPr>
    </w:p>
    <w:p w14:paraId="2E946A85" w14:textId="77777777" w:rsidR="00B725B8" w:rsidRDefault="00B725B8" w:rsidP="00155584">
      <w:pPr>
        <w:tabs>
          <w:tab w:val="left" w:pos="2730"/>
          <w:tab w:val="center" w:pos="4535"/>
        </w:tabs>
        <w:spacing w:before="480" w:after="9120"/>
        <w:jc w:val="left"/>
        <w:outlineLvl w:val="0"/>
        <w:rPr>
          <w:b/>
          <w:bCs/>
          <w:color w:val="323E4F" w:themeColor="text2" w:themeShade="BF"/>
          <w:sz w:val="36"/>
          <w:szCs w:val="36"/>
          <w:lang w:val="fr-FR"/>
        </w:rPr>
      </w:pPr>
    </w:p>
    <w:p w14:paraId="0EC74597" w14:textId="77777777" w:rsidR="00B725B8" w:rsidRDefault="00B725B8" w:rsidP="00155584">
      <w:pPr>
        <w:tabs>
          <w:tab w:val="left" w:pos="2730"/>
          <w:tab w:val="center" w:pos="4535"/>
        </w:tabs>
        <w:spacing w:before="480" w:after="9120"/>
        <w:jc w:val="left"/>
        <w:outlineLvl w:val="0"/>
        <w:rPr>
          <w:b/>
          <w:bCs/>
          <w:color w:val="323E4F" w:themeColor="text2" w:themeShade="BF"/>
          <w:sz w:val="36"/>
          <w:szCs w:val="36"/>
          <w:lang w:val="fr-FR"/>
        </w:rPr>
        <w:sectPr w:rsidR="00B725B8" w:rsidSect="00B80792">
          <w:headerReference w:type="default" r:id="rId11"/>
          <w:footerReference w:type="default" r:id="rId12"/>
          <w:headerReference w:type="first" r:id="rId13"/>
          <w:footerReference w:type="first" r:id="rId14"/>
          <w:pgSz w:w="11906" w:h="16838" w:code="9"/>
          <w:pgMar w:top="1418" w:right="1418" w:bottom="1418" w:left="1418" w:header="851" w:footer="0" w:gutter="0"/>
          <w:pgNumType w:start="0"/>
          <w:cols w:space="708"/>
          <w:titlePg/>
          <w:docGrid w:linePitch="360"/>
        </w:sectPr>
      </w:pPr>
    </w:p>
    <w:p w14:paraId="0DC55A18" w14:textId="18E15FBE" w:rsidR="00155584" w:rsidRPr="00E203A1" w:rsidRDefault="00155584" w:rsidP="001E18B5">
      <w:pPr>
        <w:pStyle w:val="Titre1"/>
      </w:pPr>
      <w:r w:rsidRPr="00F42A4F">
        <w:lastRenderedPageBreak/>
        <w:t>Préambule</w:t>
      </w:r>
    </w:p>
    <w:p w14:paraId="3CB8C78E" w14:textId="77777777" w:rsidR="00FD7F96" w:rsidRPr="00FD7F96" w:rsidRDefault="00FD7F96" w:rsidP="00DC6275">
      <w:pPr>
        <w:pStyle w:val="Titre2"/>
        <w:numPr>
          <w:ilvl w:val="0"/>
          <w:numId w:val="0"/>
        </w:numPr>
        <w:ind w:left="720" w:hanging="360"/>
      </w:pPr>
      <w:r w:rsidRPr="00FD7F96">
        <w:t>1. Contexte de la réforme</w:t>
      </w:r>
    </w:p>
    <w:p w14:paraId="17CC68FB" w14:textId="5B558FC5" w:rsidR="00FD7F96" w:rsidRPr="00FD7F96" w:rsidRDefault="00FD7F96" w:rsidP="00FD7F96">
      <w:pPr>
        <w:spacing w:after="120" w:line="276" w:lineRule="auto"/>
      </w:pPr>
      <w:r>
        <w:t xml:space="preserve">Le Gouvernement fédéral a récemment annoncé une réforme visant à limiter à deux ans la durée des allocations de chômage pour les personnes aptes au travail. Cette mesure, qui entrerait en vigueur à partir du 1er janvier 2026, s’inscrit dans une logique d’activation </w:t>
      </w:r>
      <w:r w:rsidR="00E472BC">
        <w:t>renforcée</w:t>
      </w:r>
      <w:r w:rsidR="00461598">
        <w:t xml:space="preserve"> </w:t>
      </w:r>
      <w:r>
        <w:t>des demandeurs d’emploi.</w:t>
      </w:r>
    </w:p>
    <w:p w14:paraId="17E42939" w14:textId="70CD5693" w:rsidR="00FD7F96" w:rsidRDefault="00FD7F96" w:rsidP="00FD7F96">
      <w:pPr>
        <w:spacing w:after="120" w:line="276" w:lineRule="auto"/>
      </w:pPr>
      <w:r>
        <w:t xml:space="preserve">La </w:t>
      </w:r>
      <w:r w:rsidRPr="7F555CBC">
        <w:rPr>
          <w:b/>
          <w:bCs/>
        </w:rPr>
        <w:t>Plateforme des conseils consultatifs des personnes en situation de handicap</w:t>
      </w:r>
      <w:r>
        <w:t xml:space="preserve"> souhaite, par </w:t>
      </w:r>
      <w:r w:rsidR="00461598">
        <w:t>cet avis d’</w:t>
      </w:r>
      <w:proofErr w:type="spellStart"/>
      <w:r w:rsidR="00461598">
        <w:t>inititiave</w:t>
      </w:r>
      <w:proofErr w:type="spellEnd"/>
      <w:r>
        <w:t xml:space="preserve">, exprimer </w:t>
      </w:r>
      <w:r w:rsidR="3908A287" w:rsidRPr="7F555CBC">
        <w:rPr>
          <w:b/>
          <w:bCs/>
        </w:rPr>
        <w:t>sa profonde inquiétude</w:t>
      </w:r>
      <w:r w:rsidRPr="7F555CBC">
        <w:rPr>
          <w:b/>
          <w:bCs/>
        </w:rPr>
        <w:t xml:space="preserve"> </w:t>
      </w:r>
      <w:r>
        <w:t xml:space="preserve">face à cette </w:t>
      </w:r>
      <w:r w:rsidR="006D2C47">
        <w:t>orientation politique</w:t>
      </w:r>
      <w:r>
        <w:t xml:space="preserve">, qui </w:t>
      </w:r>
      <w:r w:rsidR="0076033C">
        <w:t>néglige les réalités spécifiques</w:t>
      </w:r>
      <w:r w:rsidR="000B7848">
        <w:t xml:space="preserve"> auxquelles sont confrontées</w:t>
      </w:r>
      <w:r>
        <w:t xml:space="preserve"> </w:t>
      </w:r>
      <w:r w:rsidR="000B7848">
        <w:t>les</w:t>
      </w:r>
      <w:r>
        <w:t xml:space="preserve"> </w:t>
      </w:r>
      <w:r w:rsidRPr="7F555CBC">
        <w:rPr>
          <w:b/>
          <w:bCs/>
        </w:rPr>
        <w:t>personnes en situation de handicap (PSH)</w:t>
      </w:r>
      <w:r w:rsidR="00587C57">
        <w:t xml:space="preserve"> tant dans l’accès à l’emploi que dans leur maintien en ac</w:t>
      </w:r>
      <w:r w:rsidR="00AE016F">
        <w:t>tivité</w:t>
      </w:r>
    </w:p>
    <w:p w14:paraId="74B98B5E" w14:textId="1F969BB8" w:rsidR="00702D0E" w:rsidRPr="00FD7F96" w:rsidRDefault="00A664F5" w:rsidP="00FD7F96">
      <w:pPr>
        <w:spacing w:after="120" w:line="276" w:lineRule="auto"/>
      </w:pPr>
      <w:r>
        <w:t>En effet, de nombreuses personnes en situation de handicap rencontrent d’importants obstacles structurels à l’emploi : accessibilité insuffisante des lieux de travail, discriminations persistantes lors des recrutements, offres d’emploi peu adaptées, et manque de dispositifs de soutien individualisé. À cela s’ajoute une offre de formation professionnelle souvent inadaptée à leurs besoins spécifiques, et un accompagnement vers l’emploi encore trop peu coordonné entre les différents niveaux de pouvoir.</w:t>
      </w:r>
    </w:p>
    <w:p w14:paraId="657D527B" w14:textId="2D0849BC" w:rsidR="000E223C" w:rsidRPr="00886B6C" w:rsidRDefault="00FD7F96" w:rsidP="00886B6C">
      <w:pPr>
        <w:pStyle w:val="Titre2"/>
        <w:numPr>
          <w:ilvl w:val="0"/>
          <w:numId w:val="0"/>
        </w:numPr>
        <w:ind w:left="720" w:hanging="360"/>
      </w:pPr>
      <w:r w:rsidRPr="00FD7F96">
        <w:t>2. Constats préoccupants</w:t>
      </w:r>
    </w:p>
    <w:p w14:paraId="51F7F8F8" w14:textId="406E609E" w:rsidR="00DC6275" w:rsidRPr="00B60465" w:rsidRDefault="00B60465" w:rsidP="000E223C">
      <w:pPr>
        <w:pStyle w:val="Titre3"/>
      </w:pPr>
      <w:r w:rsidRPr="00B60465">
        <w:t>Un manque de données et de transparence</w:t>
      </w:r>
    </w:p>
    <w:p w14:paraId="1911FBB7" w14:textId="1862FCC4" w:rsidR="00FD7F96" w:rsidRDefault="00FB63F1" w:rsidP="00FD7F96">
      <w:pPr>
        <w:spacing w:after="120" w:line="276" w:lineRule="auto"/>
      </w:pPr>
      <w:r>
        <w:t xml:space="preserve">La </w:t>
      </w:r>
      <w:r w:rsidRPr="7F555CBC">
        <w:rPr>
          <w:b/>
          <w:bCs/>
        </w:rPr>
        <w:t>Plateforme des conseils consultatifs des personnes en situation de handicap</w:t>
      </w:r>
      <w:r>
        <w:t xml:space="preserve"> constate, à</w:t>
      </w:r>
      <w:r w:rsidR="00FD7F96">
        <w:t xml:space="preserve"> ce jour, </w:t>
      </w:r>
      <w:r>
        <w:t>qu’</w:t>
      </w:r>
      <w:r w:rsidR="00FD7F96">
        <w:t xml:space="preserve">aucun chiffre officiel n’a été communiqué concernant le nombre de chômeurs de longue durée bénéficiant d’une reconnaissance de handicap par l’ONEM. Cette absence de données </w:t>
      </w:r>
      <w:r w:rsidR="00116FDB">
        <w:t xml:space="preserve">désagrégées constitue une lacune majeure dans </w:t>
      </w:r>
      <w:r w:rsidR="006B008D">
        <w:t>l’élaboration et l’évaluation</w:t>
      </w:r>
      <w:r w:rsidR="00FD7F96">
        <w:t xml:space="preserve"> de l’impact de la réforme sur les PSH, alors qu’une telle mesure devrait impérativement reposer sur une </w:t>
      </w:r>
      <w:r w:rsidR="00FD7F96" w:rsidRPr="7F555CBC">
        <w:rPr>
          <w:b/>
          <w:bCs/>
        </w:rPr>
        <w:t>analyse d’impact préalable</w:t>
      </w:r>
      <w:r w:rsidR="00FD7F96">
        <w:t xml:space="preserve"> différenciée.</w:t>
      </w:r>
    </w:p>
    <w:p w14:paraId="4E0AC075" w14:textId="77777777" w:rsidR="00E23947" w:rsidRPr="00E30FE5" w:rsidRDefault="00E23947" w:rsidP="00E23947">
      <w:pPr>
        <w:spacing w:after="120" w:line="276" w:lineRule="auto"/>
      </w:pPr>
      <w:r>
        <w:t xml:space="preserve">Il est pourtant fondamental qu’une réforme d’une telle ampleur, aux conséquences sociales importantes, s’appuie sur des données précises, fiables et différenciées, permettant d’identifier les publics les plus vulnérables. </w:t>
      </w:r>
    </w:p>
    <w:p w14:paraId="746C587A" w14:textId="29187FB1" w:rsidR="00E23947" w:rsidRDefault="00E23947" w:rsidP="00FD7F96">
      <w:pPr>
        <w:spacing w:after="120" w:line="276" w:lineRule="auto"/>
      </w:pPr>
      <w:r>
        <w:t xml:space="preserve">La </w:t>
      </w:r>
      <w:r w:rsidRPr="7F555CBC">
        <w:rPr>
          <w:b/>
          <w:bCs/>
        </w:rPr>
        <w:t>Plateforme des conseils consultatifs des personnes en situation de handicap</w:t>
      </w:r>
      <w:r>
        <w:t xml:space="preserve"> insiste donc sur l’importance et l’urgence de produire et rendre accessibles des données ventilées, et de procéder à une analyse d’impact spécifique avant toute mise en œuvre de cette réforme.</w:t>
      </w:r>
    </w:p>
    <w:p w14:paraId="61F25C37" w14:textId="57A88DEE" w:rsidR="00FD7F96" w:rsidRPr="00B60465" w:rsidRDefault="00FD7F96" w:rsidP="000E223C">
      <w:pPr>
        <w:pStyle w:val="Titre3"/>
      </w:pPr>
      <w:r w:rsidRPr="00B60465">
        <w:t>Une réforme qui risque d'exclure les plus vulnérables</w:t>
      </w:r>
    </w:p>
    <w:p w14:paraId="29C8A7C9" w14:textId="77777777" w:rsidR="00FD7F96" w:rsidRPr="000D33A6" w:rsidRDefault="00FD7F96" w:rsidP="00FD7F96">
      <w:pPr>
        <w:spacing w:after="120" w:line="276" w:lineRule="auto"/>
        <w:rPr>
          <w:highlight w:val="yellow"/>
        </w:rPr>
      </w:pPr>
      <w:r w:rsidRPr="000D33A6">
        <w:rPr>
          <w:highlight w:val="yellow"/>
        </w:rPr>
        <w:t xml:space="preserve">Les personnes en situation de handicap rencontrent déjà de </w:t>
      </w:r>
      <w:r w:rsidRPr="000D33A6">
        <w:rPr>
          <w:b/>
          <w:bCs/>
          <w:highlight w:val="yellow"/>
        </w:rPr>
        <w:t>multiples obstacles à l’emploi</w:t>
      </w:r>
      <w:r w:rsidRPr="000D33A6">
        <w:rPr>
          <w:highlight w:val="yellow"/>
        </w:rPr>
        <w:t xml:space="preserve"> :</w:t>
      </w:r>
    </w:p>
    <w:p w14:paraId="11D9A2E3" w14:textId="77777777" w:rsidR="00FD7F96" w:rsidRPr="000D33A6" w:rsidRDefault="00FD7F96" w:rsidP="00D15E0E">
      <w:pPr>
        <w:spacing w:after="120" w:line="276" w:lineRule="auto"/>
        <w:rPr>
          <w:highlight w:val="yellow"/>
        </w:rPr>
      </w:pPr>
      <w:proofErr w:type="gramStart"/>
      <w:r w:rsidRPr="000D33A6">
        <w:rPr>
          <w:highlight w:val="yellow"/>
        </w:rPr>
        <w:t>taux</w:t>
      </w:r>
      <w:proofErr w:type="gramEnd"/>
      <w:r w:rsidRPr="000D33A6">
        <w:rPr>
          <w:highlight w:val="yellow"/>
        </w:rPr>
        <w:t xml:space="preserve"> de chômage plus élevé que la moyenne </w:t>
      </w:r>
      <w:commentRangeStart w:id="1"/>
      <w:r w:rsidRPr="000D33A6">
        <w:rPr>
          <w:highlight w:val="yellow"/>
        </w:rPr>
        <w:t>nationale</w:t>
      </w:r>
      <w:commentRangeEnd w:id="1"/>
      <w:r w:rsidR="000D33A6">
        <w:rPr>
          <w:rStyle w:val="Marquedecommentaire"/>
        </w:rPr>
        <w:commentReference w:id="1"/>
      </w:r>
      <w:r w:rsidRPr="000D33A6">
        <w:rPr>
          <w:highlight w:val="yellow"/>
        </w:rPr>
        <w:t>,</w:t>
      </w:r>
    </w:p>
    <w:p w14:paraId="654AA246" w14:textId="77777777" w:rsidR="00FD7F96" w:rsidRPr="000D33A6" w:rsidRDefault="00FD7F96" w:rsidP="00FD7F96">
      <w:pPr>
        <w:numPr>
          <w:ilvl w:val="0"/>
          <w:numId w:val="3"/>
        </w:numPr>
        <w:spacing w:after="120" w:line="276" w:lineRule="auto"/>
        <w:rPr>
          <w:highlight w:val="yellow"/>
        </w:rPr>
      </w:pPr>
      <w:proofErr w:type="gramStart"/>
      <w:r w:rsidRPr="000D33A6">
        <w:rPr>
          <w:highlight w:val="yellow"/>
        </w:rPr>
        <w:t>discriminations</w:t>
      </w:r>
      <w:proofErr w:type="gramEnd"/>
      <w:r w:rsidRPr="000D33A6">
        <w:rPr>
          <w:highlight w:val="yellow"/>
        </w:rPr>
        <w:t xml:space="preserve"> structurelles à l’embauche,</w:t>
      </w:r>
    </w:p>
    <w:p w14:paraId="7B404007" w14:textId="77777777" w:rsidR="00FD7F96" w:rsidRPr="000D33A6" w:rsidRDefault="00FD7F96" w:rsidP="00FD7F96">
      <w:pPr>
        <w:numPr>
          <w:ilvl w:val="0"/>
          <w:numId w:val="3"/>
        </w:numPr>
        <w:spacing w:after="120" w:line="276" w:lineRule="auto"/>
        <w:rPr>
          <w:highlight w:val="yellow"/>
        </w:rPr>
      </w:pPr>
      <w:proofErr w:type="gramStart"/>
      <w:r w:rsidRPr="000D33A6">
        <w:rPr>
          <w:highlight w:val="yellow"/>
        </w:rPr>
        <w:t>inadéquation</w:t>
      </w:r>
      <w:proofErr w:type="gramEnd"/>
      <w:r w:rsidRPr="000D33A6">
        <w:rPr>
          <w:highlight w:val="yellow"/>
        </w:rPr>
        <w:t xml:space="preserve"> des conditions de travail,</w:t>
      </w:r>
    </w:p>
    <w:p w14:paraId="6AE53C42" w14:textId="77777777" w:rsidR="00FD7F96" w:rsidRPr="000D33A6" w:rsidRDefault="00FD7F96" w:rsidP="00FD7F96">
      <w:pPr>
        <w:numPr>
          <w:ilvl w:val="0"/>
          <w:numId w:val="3"/>
        </w:numPr>
        <w:spacing w:after="120" w:line="276" w:lineRule="auto"/>
        <w:rPr>
          <w:highlight w:val="yellow"/>
        </w:rPr>
      </w:pPr>
      <w:proofErr w:type="gramStart"/>
      <w:r w:rsidRPr="000D33A6">
        <w:rPr>
          <w:highlight w:val="yellow"/>
        </w:rPr>
        <w:t>accessibilité</w:t>
      </w:r>
      <w:proofErr w:type="gramEnd"/>
      <w:r w:rsidRPr="000D33A6">
        <w:rPr>
          <w:highlight w:val="yellow"/>
        </w:rPr>
        <w:t xml:space="preserve"> limitée des lieux de travail,</w:t>
      </w:r>
    </w:p>
    <w:p w14:paraId="7745A995" w14:textId="77777777" w:rsidR="00FD7F96" w:rsidRPr="000D33A6" w:rsidRDefault="00FD7F96" w:rsidP="00FD7F96">
      <w:pPr>
        <w:numPr>
          <w:ilvl w:val="0"/>
          <w:numId w:val="3"/>
        </w:numPr>
        <w:spacing w:after="120" w:line="276" w:lineRule="auto"/>
        <w:rPr>
          <w:highlight w:val="yellow"/>
        </w:rPr>
      </w:pPr>
      <w:proofErr w:type="gramStart"/>
      <w:r w:rsidRPr="000D33A6">
        <w:rPr>
          <w:highlight w:val="yellow"/>
        </w:rPr>
        <w:t>et</w:t>
      </w:r>
      <w:proofErr w:type="gramEnd"/>
      <w:r w:rsidRPr="000D33A6">
        <w:rPr>
          <w:highlight w:val="yellow"/>
        </w:rPr>
        <w:t xml:space="preserve"> manque de mesures de soutien adaptées.</w:t>
      </w:r>
    </w:p>
    <w:p w14:paraId="4687B1D7" w14:textId="77777777" w:rsidR="00FD7F96" w:rsidRDefault="00FD7F96" w:rsidP="00FD7F96">
      <w:pPr>
        <w:spacing w:after="120" w:line="276" w:lineRule="auto"/>
      </w:pPr>
      <w:r w:rsidRPr="000D33A6">
        <w:rPr>
          <w:highlight w:val="yellow"/>
        </w:rPr>
        <w:lastRenderedPageBreak/>
        <w:t xml:space="preserve">Imposer une limite rigide à deux ans de droit au chômage sans tenir compte de ces réalités revient à pénaliser un public déjà désavantagé, et à </w:t>
      </w:r>
      <w:r w:rsidRPr="000D33A6">
        <w:rPr>
          <w:b/>
          <w:bCs/>
          <w:highlight w:val="yellow"/>
        </w:rPr>
        <w:t>renforcer leur précarité socio-économique</w:t>
      </w:r>
      <w:r w:rsidRPr="000D33A6">
        <w:rPr>
          <w:highlight w:val="yellow"/>
        </w:rPr>
        <w:t>.</w:t>
      </w:r>
    </w:p>
    <w:p w14:paraId="58CF984E" w14:textId="0FBF8128" w:rsidR="00567483" w:rsidRDefault="0093768C" w:rsidP="00B05EA8">
      <w:pPr>
        <w:pStyle w:val="Titre3"/>
      </w:pPr>
      <w:r w:rsidRPr="00DC6275">
        <w:t>Une mise au travail ordinaire qui demande du temps et de l’accompagnement</w:t>
      </w:r>
    </w:p>
    <w:p w14:paraId="2BD4DA07" w14:textId="2CFA5245" w:rsidR="00E7646D" w:rsidRDefault="00FB63F1" w:rsidP="003C1CF0">
      <w:pPr>
        <w:spacing w:line="276" w:lineRule="auto"/>
      </w:pPr>
      <w:r>
        <w:t xml:space="preserve">La </w:t>
      </w:r>
      <w:r w:rsidRPr="7F555CBC">
        <w:rPr>
          <w:b/>
          <w:bCs/>
        </w:rPr>
        <w:t>Plateforme des conseils consultatifs des personnes en situation de handicap</w:t>
      </w:r>
      <w:r>
        <w:t xml:space="preserve"> souligne que l</w:t>
      </w:r>
      <w:r w:rsidR="00574C0C">
        <w:t xml:space="preserve">a majorité des PSH candidates à l’emploi sont actuellement </w:t>
      </w:r>
      <w:r w:rsidR="003C1CF0">
        <w:t xml:space="preserve">inscrites </w:t>
      </w:r>
      <w:r w:rsidR="00574C0C">
        <w:t>dans le régime du chômage</w:t>
      </w:r>
      <w:r w:rsidR="000D7811">
        <w:t xml:space="preserve">, ce qui </w:t>
      </w:r>
      <w:r w:rsidR="009D07BC">
        <w:t>ouvre la possibilité de bénéficier</w:t>
      </w:r>
      <w:r w:rsidR="000D7811">
        <w:t xml:space="preserve"> d’un accompagnement </w:t>
      </w:r>
      <w:r w:rsidR="009D07BC">
        <w:t xml:space="preserve">individualisé, </w:t>
      </w:r>
      <w:r w:rsidR="00547250">
        <w:t>assuré par des acteurs spécialisés</w:t>
      </w:r>
      <w:r w:rsidR="009D07BC">
        <w:t xml:space="preserve"> dans l’insertion </w:t>
      </w:r>
      <w:r w:rsidR="00E7646D">
        <w:t>professionnelle de ce public</w:t>
      </w:r>
      <w:r w:rsidR="00AF0446">
        <w:t>.</w:t>
      </w:r>
      <w:r w:rsidR="00E7646D">
        <w:t xml:space="preserve"> Cet accompagnement est essentiel pour lever les nombreux freins à l’emploi, tant du côté des candidats que des employeurs. </w:t>
      </w:r>
    </w:p>
    <w:p w14:paraId="0538DCB2" w14:textId="74A636CD" w:rsidR="003C1CF0" w:rsidRPr="00B05EA8" w:rsidRDefault="00574C0C" w:rsidP="003C1CF0">
      <w:pPr>
        <w:spacing w:line="276" w:lineRule="auto"/>
      </w:pPr>
      <w:r>
        <w:t>Selon</w:t>
      </w:r>
      <w:r w:rsidR="00AF0446">
        <w:t xml:space="preserve"> </w:t>
      </w:r>
      <w:r w:rsidR="00E21AB7">
        <w:t>une étude</w:t>
      </w:r>
      <w:r w:rsidR="00E7646D">
        <w:t xml:space="preserve"> récente</w:t>
      </w:r>
      <w:r w:rsidR="00AF0446">
        <w:t xml:space="preserve">, la mise à l’emploi </w:t>
      </w:r>
      <w:r w:rsidR="005309B1">
        <w:t xml:space="preserve">d’une personne en situation de handicap </w:t>
      </w:r>
      <w:r w:rsidR="00727983">
        <w:t xml:space="preserve">aujourd’hui </w:t>
      </w:r>
      <w:r w:rsidR="005309B1">
        <w:t>sans emploi permet</w:t>
      </w:r>
      <w:r w:rsidR="00727983">
        <w:t>trait de générer</w:t>
      </w:r>
      <w:r w:rsidR="005309B1">
        <w:t xml:space="preserve"> </w:t>
      </w:r>
      <w:r w:rsidR="00727983">
        <w:t>une</w:t>
      </w:r>
      <w:r w:rsidR="006377E0">
        <w:t xml:space="preserve"> </w:t>
      </w:r>
      <w:r w:rsidR="005309B1">
        <w:t>économ</w:t>
      </w:r>
      <w:r w:rsidR="00727983">
        <w:t>ie</w:t>
      </w:r>
      <w:r w:rsidR="5E9D418E">
        <w:t xml:space="preserve"> </w:t>
      </w:r>
      <w:r w:rsidR="00727983">
        <w:t>d’</w:t>
      </w:r>
      <w:r w:rsidR="00CE4A1B">
        <w:t xml:space="preserve">environ </w:t>
      </w:r>
      <w:r w:rsidR="004F618B">
        <w:t>3</w:t>
      </w:r>
      <w:r w:rsidR="005D715B">
        <w:t>1</w:t>
      </w:r>
      <w:r w:rsidR="004F618B">
        <w:t xml:space="preserve"> 000 € par an </w:t>
      </w:r>
      <w:r w:rsidR="00727983">
        <w:t>en dépenses publiques</w:t>
      </w:r>
      <w:r w:rsidR="004F618B">
        <w:t>.</w:t>
      </w:r>
      <w:r w:rsidR="00E21AB7">
        <w:rPr>
          <w:rStyle w:val="Appelnotedebasdep"/>
        </w:rPr>
        <w:footnoteReference w:id="1"/>
      </w:r>
      <w:r>
        <w:t xml:space="preserve"> </w:t>
      </w:r>
      <w:r w:rsidR="00683B5D">
        <w:t xml:space="preserve">Néanmoins un tel accompagnement demande un certain temps pour </w:t>
      </w:r>
      <w:r w:rsidR="001056CA">
        <w:t xml:space="preserve">assurer le conseil aux entreprises et </w:t>
      </w:r>
      <w:r w:rsidR="00107A28">
        <w:t>le</w:t>
      </w:r>
      <w:r w:rsidR="001056CA">
        <w:t xml:space="preserve"> « </w:t>
      </w:r>
      <w:proofErr w:type="spellStart"/>
      <w:r w:rsidR="001056CA">
        <w:t>matching</w:t>
      </w:r>
      <w:proofErr w:type="spellEnd"/>
      <w:r w:rsidR="001056CA">
        <w:t xml:space="preserve"> » </w:t>
      </w:r>
      <w:r w:rsidR="00107A28">
        <w:t>avec</w:t>
      </w:r>
      <w:r w:rsidR="001056CA">
        <w:t xml:space="preserve"> les compétences des demandeurs d’emploi en situation de handicap</w:t>
      </w:r>
      <w:r w:rsidR="00107A28">
        <w:t xml:space="preserve">. </w:t>
      </w:r>
      <w:r w:rsidR="00AB0F28">
        <w:t xml:space="preserve">Selon </w:t>
      </w:r>
      <w:proofErr w:type="gramStart"/>
      <w:r w:rsidR="00AB0F28">
        <w:t>une acteur</w:t>
      </w:r>
      <w:proofErr w:type="gramEnd"/>
      <w:r w:rsidR="00AB0F28">
        <w:t xml:space="preserve"> du terrain,</w:t>
      </w:r>
      <w:r w:rsidR="002E6BFD">
        <w:t xml:space="preserve"> </w:t>
      </w:r>
      <w:r w:rsidR="00AB0F28">
        <w:t>l’expérience</w:t>
      </w:r>
      <w:r w:rsidR="002E6BFD">
        <w:t xml:space="preserve"> montre que</w:t>
      </w:r>
      <w:r w:rsidR="001B4EB5">
        <w:t xml:space="preserve"> </w:t>
      </w:r>
      <w:r w:rsidR="00AB0F28">
        <w:t xml:space="preserve">le </w:t>
      </w:r>
      <w:r w:rsidR="001B4EB5">
        <w:t>temps nécessaire pour l</w:t>
      </w:r>
      <w:r w:rsidR="001B268A">
        <w:t xml:space="preserve">’accompagnement vers l’emploi de ce public </w:t>
      </w:r>
      <w:r w:rsidR="00580C0D">
        <w:t>est de 3 ans en moyenne.</w:t>
      </w:r>
      <w:r w:rsidR="00AB0F28">
        <w:rPr>
          <w:rStyle w:val="Appelnotedebasdep"/>
        </w:rPr>
        <w:footnoteReference w:id="2"/>
      </w:r>
      <w:r w:rsidR="000C7ED8">
        <w:t xml:space="preserve"> </w:t>
      </w:r>
      <w:r w:rsidR="00580C0D">
        <w:t xml:space="preserve">Une limitation du chômage à </w:t>
      </w:r>
      <w:r w:rsidR="77CA5C7F">
        <w:t>deux ans</w:t>
      </w:r>
      <w:r w:rsidR="00580C0D">
        <w:t xml:space="preserve"> </w:t>
      </w:r>
      <w:r w:rsidR="006B7BA1">
        <w:t>affectera donc nécessairement la</w:t>
      </w:r>
      <w:r w:rsidR="000C7ED8">
        <w:t xml:space="preserve"> qualité de cet accompagnement</w:t>
      </w:r>
      <w:r w:rsidR="00423E54">
        <w:t xml:space="preserve"> pour les bénéficiaires</w:t>
      </w:r>
      <w:r w:rsidR="000C7ED8">
        <w:t xml:space="preserve">. </w:t>
      </w:r>
    </w:p>
    <w:p w14:paraId="5EBE508F" w14:textId="71373E9E" w:rsidR="00FD7F96" w:rsidRDefault="00F03042" w:rsidP="00B05EA8">
      <w:pPr>
        <w:pStyle w:val="Titre3"/>
      </w:pPr>
      <w:r>
        <w:t>Impact sur le</w:t>
      </w:r>
      <w:r w:rsidR="00FD7F96" w:rsidRPr="00FD7F96">
        <w:t xml:space="preserve"> secteur des entreprises de travail adapté (ETA) </w:t>
      </w:r>
    </w:p>
    <w:p w14:paraId="1E52E4EB" w14:textId="54C4F144" w:rsidR="00954D85" w:rsidRPr="00E53EB5" w:rsidRDefault="00FD7F96" w:rsidP="00926B3D">
      <w:pPr>
        <w:spacing w:after="120" w:line="276" w:lineRule="auto"/>
      </w:pPr>
      <w:r>
        <w:t xml:space="preserve">La </w:t>
      </w:r>
      <w:r w:rsidR="00636EA1">
        <w:t>D</w:t>
      </w:r>
      <w:r w:rsidR="00F03042">
        <w:t>éclaration de politique générale</w:t>
      </w:r>
      <w:r w:rsidR="00954D85">
        <w:t xml:space="preserve"> du Gouvernement fédéral</w:t>
      </w:r>
      <w:r>
        <w:t xml:space="preserve"> </w:t>
      </w:r>
      <w:r w:rsidR="002E59E5">
        <w:t xml:space="preserve">suppose </w:t>
      </w:r>
      <w:r>
        <w:t xml:space="preserve">que des alternatives professionnelles </w:t>
      </w:r>
      <w:r w:rsidR="00832C6C">
        <w:t xml:space="preserve">réalistes et accessibles </w:t>
      </w:r>
      <w:r>
        <w:t>existeront pour le</w:t>
      </w:r>
      <w:r w:rsidR="00832C6C">
        <w:t>s publics</w:t>
      </w:r>
      <w:r>
        <w:t xml:space="preserve"> concernés</w:t>
      </w:r>
      <w:r w:rsidR="00E96FED">
        <w:t>, y compris les personnes en situation de handicap</w:t>
      </w:r>
      <w:r>
        <w:t xml:space="preserve">. Or, </w:t>
      </w:r>
      <w:r w:rsidR="00E96FED">
        <w:t xml:space="preserve">cette hypothèse se heurte à e sérieuses limites structurelles, en particulier </w:t>
      </w:r>
      <w:r>
        <w:t>à Bruxelles</w:t>
      </w:r>
      <w:r w:rsidR="00E96FED">
        <w:t>. L</w:t>
      </w:r>
      <w:r>
        <w:t>e secteur des ETA</w:t>
      </w:r>
      <w:r w:rsidR="00A23AAE">
        <w:t>, souvent présenté comme une piste privilégiée pour l’emploi des PSH</w:t>
      </w:r>
      <w:r w:rsidR="00E53EB5">
        <w:t>,</w:t>
      </w:r>
      <w:r>
        <w:t xml:space="preserve"> est</w:t>
      </w:r>
      <w:r w:rsidR="00E53EB5">
        <w:t xml:space="preserve"> actuellement</w:t>
      </w:r>
      <w:r>
        <w:t xml:space="preserve"> en </w:t>
      </w:r>
      <w:r w:rsidRPr="7F555CBC">
        <w:rPr>
          <w:b/>
          <w:bCs/>
        </w:rPr>
        <w:t>situation économique critique</w:t>
      </w:r>
      <w:r w:rsidR="00FB63F1">
        <w:t>.</w:t>
      </w:r>
      <w:r w:rsidR="00FE7CE6">
        <w:t xml:space="preserve"> </w:t>
      </w:r>
    </w:p>
    <w:p w14:paraId="6D24D6AC" w14:textId="4AC55216" w:rsidR="00954D85" w:rsidRDefault="00954D85" w:rsidP="00926B3D">
      <w:pPr>
        <w:spacing w:after="120" w:line="276" w:lineRule="auto"/>
      </w:pPr>
      <w:r>
        <w:t>Confrontées à des financements insuffisants, à une pression croissante sur les coûts et à des difficultés de recrutement de personnel encadrant, les ETA ne sont pas en capacité, à ce jour, d’absorber un afflux important de nouveaux travailleurs.</w:t>
      </w:r>
    </w:p>
    <w:p w14:paraId="394C7361" w14:textId="21ACC173" w:rsidR="00954D85" w:rsidRDefault="00DA477B" w:rsidP="00926B3D">
      <w:pPr>
        <w:spacing w:after="120" w:line="276" w:lineRule="auto"/>
      </w:pPr>
      <w:r>
        <w:t xml:space="preserve">La </w:t>
      </w:r>
      <w:r w:rsidRPr="7F555CBC">
        <w:rPr>
          <w:b/>
          <w:bCs/>
        </w:rPr>
        <w:t>Plateforme des conseils consultatifs des personnes en situation de handicap</w:t>
      </w:r>
      <w:r>
        <w:t xml:space="preserve"> indique </w:t>
      </w:r>
      <w:r w:rsidR="00954D85">
        <w:t xml:space="preserve">donc </w:t>
      </w:r>
      <w:r>
        <w:t xml:space="preserve">qu’il n’est </w:t>
      </w:r>
      <w:r w:rsidR="00954D85">
        <w:t>pas réaliste de penser que les PSH actuellement au chômage pourraient, à moyen terme, être redirigées massivement vers ce secteur, d’autant plus que la mise en place de nouvelles places de travail adapté exige du temps, des investissements et une concertation avec les Régions, compétentes en matière d’insertion professionnelle des PSH.</w:t>
      </w:r>
    </w:p>
    <w:p w14:paraId="7325A588" w14:textId="67F6D79C" w:rsidR="00954D85" w:rsidRDefault="00954D85" w:rsidP="00FD7F96">
      <w:pPr>
        <w:spacing w:after="120" w:line="276" w:lineRule="auto"/>
      </w:pPr>
      <w:r>
        <w:t xml:space="preserve">En l’absence de solutions concrètes, viables et adaptées, </w:t>
      </w:r>
      <w:r w:rsidR="00DA477B">
        <w:t xml:space="preserve">la </w:t>
      </w:r>
      <w:r w:rsidR="00DA477B" w:rsidRPr="7F555CBC">
        <w:rPr>
          <w:b/>
          <w:bCs/>
        </w:rPr>
        <w:t>Plateforme des conseils consultatifs des personnes en situation de handicap</w:t>
      </w:r>
      <w:r w:rsidR="00DA477B">
        <w:t xml:space="preserve"> </w:t>
      </w:r>
      <w:r w:rsidR="006B631F">
        <w:t>constate</w:t>
      </w:r>
      <w:r w:rsidR="00DA477B">
        <w:t xml:space="preserve"> que </w:t>
      </w:r>
      <w:r>
        <w:t>la réforme annoncée risque de créer une impasse sociale pour une partie des demandeurs d’emploi en situation de handicap, en les plaçant dans un entre-deux précaire : exclus du chômage sans véritable alternative d’emploi, ni accompagnement adapté.</w:t>
      </w:r>
    </w:p>
    <w:p w14:paraId="0A4BFF66" w14:textId="7108241A" w:rsidR="00FD7F96" w:rsidRPr="000E223C" w:rsidRDefault="00FD7F96" w:rsidP="000E223C">
      <w:pPr>
        <w:pStyle w:val="Titre2"/>
      </w:pPr>
      <w:r w:rsidRPr="000E223C">
        <w:t>Recommandations de la Plateforme</w:t>
      </w:r>
    </w:p>
    <w:p w14:paraId="0F1D6503" w14:textId="1644EF5A" w:rsidR="00FD7F96" w:rsidRPr="00FD7F96" w:rsidRDefault="00FD7F96" w:rsidP="005A4BDD">
      <w:pPr>
        <w:pStyle w:val="Titre3"/>
      </w:pPr>
      <w:r>
        <w:lastRenderedPageBreak/>
        <w:t>Exclusion explicite des PSH du mécanisme de limitation du chômage</w:t>
      </w:r>
    </w:p>
    <w:p w14:paraId="01488B03" w14:textId="3F609262" w:rsidR="00220F6F" w:rsidRDefault="00220F6F" w:rsidP="00220F6F">
      <w:pPr>
        <w:spacing w:after="120" w:line="276" w:lineRule="auto"/>
      </w:pPr>
    </w:p>
    <w:p w14:paraId="65E22D82" w14:textId="5F2DF623" w:rsidR="00B643FE" w:rsidRPr="00220F6F" w:rsidRDefault="00B643FE" w:rsidP="00220F6F">
      <w:pPr>
        <w:spacing w:after="120" w:line="276" w:lineRule="auto"/>
      </w:pPr>
      <w:r>
        <w:t xml:space="preserve">La </w:t>
      </w:r>
      <w:r w:rsidRPr="7F555CBC">
        <w:rPr>
          <w:b/>
          <w:bCs/>
        </w:rPr>
        <w:t>Plateforme</w:t>
      </w:r>
      <w:r>
        <w:t xml:space="preserve"> demande que les personnes en situation de handicap (PSH) fassent l’objet d’une exception explicite dans le cadre du dispositif de limitation à deux ans de la durée des allocations de chômage.</w:t>
      </w:r>
    </w:p>
    <w:p w14:paraId="30F8C751" w14:textId="77777777" w:rsidR="00B643FE" w:rsidRPr="00220F6F" w:rsidRDefault="00B643FE" w:rsidP="00220F6F">
      <w:pPr>
        <w:spacing w:after="120" w:line="276" w:lineRule="auto"/>
      </w:pPr>
      <w:r>
        <w:t>En effet, leur situation particulière, caractérisée par des obstacles structurels à l’accès et au maintien dans l’emploi, justifie pleinement un traitement différencié, fondé sur les principes d’égalité réelle, de non-discrimination et d’aménagement raisonnable, tels que garantis notamment par la Convention des Nations Unies relative aux droits des personnes handicapées (CDPH), ratifiée par la Belgique.</w:t>
      </w:r>
    </w:p>
    <w:p w14:paraId="53034844" w14:textId="77777777" w:rsidR="00B643FE" w:rsidRPr="00220F6F" w:rsidRDefault="00B643FE" w:rsidP="00220F6F">
      <w:pPr>
        <w:spacing w:after="120" w:line="276" w:lineRule="auto"/>
      </w:pPr>
      <w:r>
        <w:t>Imposer une limite uniforme de deux ans sans tenir compte de ces réalités reviendrait à traiter de manière identique des situations fondamentalement inégales, et à aggraver la précarité de nombreuses personnes déjà en marge du marché de l’emploi.</w:t>
      </w:r>
    </w:p>
    <w:p w14:paraId="12FFBB61" w14:textId="6F2E94CA" w:rsidR="00B643FE" w:rsidRPr="00220F6F" w:rsidRDefault="00B643FE" w:rsidP="00220F6F">
      <w:pPr>
        <w:spacing w:after="120" w:line="276" w:lineRule="auto"/>
      </w:pPr>
      <w:r>
        <w:t xml:space="preserve">Par ailleurs, </w:t>
      </w:r>
      <w:r w:rsidR="00220F6F">
        <w:t xml:space="preserve">la </w:t>
      </w:r>
      <w:r w:rsidR="00220F6F" w:rsidRPr="7F555CBC">
        <w:rPr>
          <w:b/>
          <w:bCs/>
        </w:rPr>
        <w:t>Plateforme</w:t>
      </w:r>
      <w:r w:rsidR="00220F6F">
        <w:t xml:space="preserve"> rappelle qu’</w:t>
      </w:r>
      <w:r>
        <w:t>un accompagnement vers l’emploi réellement efficace pour ce public exige du temps, de la stabilité et des ressources adaptées. Or, en restreignant leur droit au chômage, cette réforme mettrait en péril la continuité de l’accompagnement, compromettant ainsi leurs perspectives de réinsertion à long terme.</w:t>
      </w:r>
    </w:p>
    <w:p w14:paraId="4E18F405" w14:textId="792F4049" w:rsidR="00FD7F96" w:rsidRPr="00FD7F96" w:rsidRDefault="00FD7F96" w:rsidP="000E223C">
      <w:pPr>
        <w:pStyle w:val="Titre3"/>
      </w:pPr>
      <w:r w:rsidRPr="00FD7F96">
        <w:t>Favoriser l’emploi ordinaire par une politique active de lutte contre les discriminations</w:t>
      </w:r>
    </w:p>
    <w:p w14:paraId="2E565170" w14:textId="74A02C0D" w:rsidR="00FD7F96" w:rsidRPr="00FD7F96" w:rsidRDefault="005C2304" w:rsidP="00FD7F96">
      <w:pPr>
        <w:spacing w:after="120" w:line="276" w:lineRule="auto"/>
      </w:pPr>
      <w:r>
        <w:t xml:space="preserve">La </w:t>
      </w:r>
      <w:r w:rsidRPr="7F555CBC">
        <w:rPr>
          <w:b/>
          <w:bCs/>
        </w:rPr>
        <w:t>Plateforme</w:t>
      </w:r>
      <w:r>
        <w:t xml:space="preserve"> relève que l</w:t>
      </w:r>
      <w:r w:rsidR="00FD7F96">
        <w:t xml:space="preserve">a transition vers l’emploi ordinaire </w:t>
      </w:r>
      <w:r w:rsidR="00F01269">
        <w:t xml:space="preserve">pour les PSH </w:t>
      </w:r>
      <w:r w:rsidR="00FD7F96">
        <w:t xml:space="preserve">ne peut </w:t>
      </w:r>
      <w:r w:rsidR="00060D1A">
        <w:t>être envisagée comme une solution réa</w:t>
      </w:r>
      <w:r w:rsidR="00B56200">
        <w:t>l</w:t>
      </w:r>
      <w:r w:rsidR="00060D1A">
        <w:t>iste et durable</w:t>
      </w:r>
      <w:r w:rsidR="4938B009">
        <w:t xml:space="preserve"> </w:t>
      </w:r>
      <w:r w:rsidR="00060D1A">
        <w:t>tant que</w:t>
      </w:r>
      <w:r w:rsidR="00FD7F96">
        <w:t xml:space="preserve"> les </w:t>
      </w:r>
      <w:r w:rsidR="00FD7F96" w:rsidRPr="7F555CBC">
        <w:rPr>
          <w:b/>
          <w:bCs/>
        </w:rPr>
        <w:t>barrières systémiques</w:t>
      </w:r>
      <w:r w:rsidR="00FD7F96">
        <w:t xml:space="preserve"> </w:t>
      </w:r>
      <w:r w:rsidR="00060D1A">
        <w:t>persistantes</w:t>
      </w:r>
      <w:r w:rsidR="00B56200">
        <w:t xml:space="preserve"> ne</w:t>
      </w:r>
      <w:r w:rsidR="00060D1A">
        <w:t xml:space="preserve"> </w:t>
      </w:r>
      <w:r w:rsidR="00FD7F96">
        <w:t xml:space="preserve">sont </w:t>
      </w:r>
      <w:r w:rsidR="00B56200">
        <w:t xml:space="preserve">pas </w:t>
      </w:r>
      <w:r w:rsidR="00FD7F96">
        <w:t xml:space="preserve">levées. Cela implique </w:t>
      </w:r>
      <w:r>
        <w:t xml:space="preserve">notamment </w:t>
      </w:r>
      <w:r w:rsidR="00FD7F96">
        <w:t>:</w:t>
      </w:r>
    </w:p>
    <w:p w14:paraId="407F0590" w14:textId="0A67B0A2" w:rsidR="00FD7F96" w:rsidRPr="00FD7F96" w:rsidRDefault="2652FC3F" w:rsidP="00FD7F96">
      <w:pPr>
        <w:numPr>
          <w:ilvl w:val="0"/>
          <w:numId w:val="4"/>
        </w:numPr>
        <w:spacing w:after="120" w:line="276" w:lineRule="auto"/>
      </w:pPr>
      <w:r>
        <w:t>U</w:t>
      </w:r>
      <w:r w:rsidR="00FD7F96">
        <w:t>n</w:t>
      </w:r>
      <w:r>
        <w:t xml:space="preserve"> </w:t>
      </w:r>
      <w:r w:rsidR="00FD7F96">
        <w:t>contrôle effectif du respect des législations anti-discrimination,</w:t>
      </w:r>
      <w:r w:rsidR="005C2304" w:rsidRPr="7F555CBC">
        <w:rPr>
          <w:rFonts w:ascii="Times New Roman" w:eastAsia="Times New Roman" w:hAnsi="Times New Roman"/>
          <w:sz w:val="24"/>
          <w:szCs w:val="24"/>
          <w:lang w:eastAsia="fr-BE"/>
        </w:rPr>
        <w:t xml:space="preserve"> </w:t>
      </w:r>
      <w:r w:rsidR="005C2304">
        <w:t>en particulier celles relatives à l’interdiction de toute forme de discrimination fondée sur le handicap dans l’accès à l’emploi, les conditions de travail, la formation et la promotion. Les autorités compétentes doivent disposer de moyens renforcés pour assurer ce contrôle et garantir une réponse rapide et dissuasive en cas de manquement.</w:t>
      </w:r>
    </w:p>
    <w:p w14:paraId="640530EA" w14:textId="62D407D7" w:rsidR="00FD7F96" w:rsidRPr="00FD7F96" w:rsidRDefault="005C2304" w:rsidP="00FD7F96">
      <w:pPr>
        <w:numPr>
          <w:ilvl w:val="0"/>
          <w:numId w:val="4"/>
        </w:numPr>
        <w:spacing w:after="120" w:line="276" w:lineRule="auto"/>
      </w:pPr>
      <w:proofErr w:type="gramStart"/>
      <w:r>
        <w:t>l’adoption</w:t>
      </w:r>
      <w:proofErr w:type="gramEnd"/>
      <w:r>
        <w:t xml:space="preserve"> </w:t>
      </w:r>
      <w:r w:rsidR="00FD7F96">
        <w:t xml:space="preserve">de sanctions claires </w:t>
      </w:r>
      <w:r>
        <w:t xml:space="preserve">et appliquées systématiquement </w:t>
      </w:r>
      <w:r w:rsidR="00FD7F96">
        <w:t>en cas de refus d’aménagements raisonnables</w:t>
      </w:r>
      <w:r>
        <w:t>. L’absence d’aménagement constitue une forme de discrimination indirecte lorsque l’environnement professionnel n’est pas rendu accessible, et doit être traitée comme telle par les services de l’inspection du travail.</w:t>
      </w:r>
    </w:p>
    <w:p w14:paraId="0C08DC7B" w14:textId="220C5AEE" w:rsidR="00F01269" w:rsidRPr="00FD7F96" w:rsidRDefault="00FD7F96" w:rsidP="00F01269">
      <w:pPr>
        <w:numPr>
          <w:ilvl w:val="0"/>
          <w:numId w:val="4"/>
        </w:numPr>
        <w:spacing w:after="120" w:line="276" w:lineRule="auto"/>
      </w:pPr>
      <w:proofErr w:type="gramStart"/>
      <w:r>
        <w:t>et</w:t>
      </w:r>
      <w:proofErr w:type="gramEnd"/>
      <w:r>
        <w:t xml:space="preserve"> </w:t>
      </w:r>
      <w:r w:rsidR="005C2304">
        <w:t xml:space="preserve">la mise en œuvre </w:t>
      </w:r>
      <w:r>
        <w:t xml:space="preserve">de politiques incitatives </w:t>
      </w:r>
      <w:r w:rsidR="005C2304">
        <w:t>ambitieuses</w:t>
      </w:r>
      <w:r w:rsidR="00926B3D">
        <w:t xml:space="preserve"> </w:t>
      </w:r>
      <w:r>
        <w:t>favorisant l’embauche de PSH.</w:t>
      </w:r>
    </w:p>
    <w:p w14:paraId="46695645" w14:textId="559728A2" w:rsidR="00FD7F96" w:rsidRPr="00FD7F96" w:rsidRDefault="00FD7F96" w:rsidP="000E223C">
      <w:pPr>
        <w:pStyle w:val="Titre3"/>
      </w:pPr>
      <w:r w:rsidRPr="00FD7F96">
        <w:t>Encourager le télétravail et l’assistance personnelle sur le lieu de travail</w:t>
      </w:r>
    </w:p>
    <w:p w14:paraId="41703CC6" w14:textId="143D8002" w:rsidR="00EF588D" w:rsidRDefault="00774CA8" w:rsidP="00FD7F96">
      <w:pPr>
        <w:spacing w:after="120" w:line="276" w:lineRule="auto"/>
      </w:pPr>
      <w:r>
        <w:t xml:space="preserve">La </w:t>
      </w:r>
      <w:r w:rsidRPr="7F555CBC">
        <w:rPr>
          <w:b/>
          <w:bCs/>
        </w:rPr>
        <w:t>Plateforme</w:t>
      </w:r>
      <w:r>
        <w:t xml:space="preserve"> insiste </w:t>
      </w:r>
      <w:r w:rsidR="101E5612">
        <w:t xml:space="preserve">sur le fait </w:t>
      </w:r>
      <w:r>
        <w:t>que l</w:t>
      </w:r>
      <w:r w:rsidR="00FD7F96">
        <w:t xml:space="preserve">e </w:t>
      </w:r>
      <w:r w:rsidR="00FD7F96" w:rsidRPr="7F555CBC">
        <w:rPr>
          <w:b/>
          <w:bCs/>
        </w:rPr>
        <w:t>télétravail</w:t>
      </w:r>
      <w:r w:rsidR="00FD7F96">
        <w:t xml:space="preserve">, </w:t>
      </w:r>
      <w:r w:rsidR="00BC0E90">
        <w:t>lorsqu’il</w:t>
      </w:r>
      <w:r w:rsidR="00FD7F96">
        <w:t xml:space="preserve"> est souhaité par la personne</w:t>
      </w:r>
      <w:r w:rsidR="00BC0E90">
        <w:t xml:space="preserve"> en situation de handicap</w:t>
      </w:r>
      <w:r w:rsidR="00FD7F96">
        <w:t xml:space="preserve">, </w:t>
      </w:r>
      <w:r w:rsidR="00BC0E90">
        <w:t xml:space="preserve">constitue un levier puissant d’inclusion dans l’emploi ordinaire. </w:t>
      </w:r>
      <w:r w:rsidR="00EF588D">
        <w:t xml:space="preserve">Il permet de surmonter de nombreux obstacles liés à la mobilité, à la fatigue, ou encore à l’accessibilité physique des lieux de travail. Pour de nombreuses personnes, cette modalité de travail offre une </w:t>
      </w:r>
      <w:r w:rsidR="00EF588D" w:rsidRPr="7F555CBC">
        <w:rPr>
          <w:b/>
          <w:bCs/>
        </w:rPr>
        <w:t>flexibilité essentielle</w:t>
      </w:r>
      <w:r w:rsidR="00EF588D">
        <w:t xml:space="preserve"> pour concilier contraintes de santé et obligations professionnelles.</w:t>
      </w:r>
    </w:p>
    <w:p w14:paraId="20DEED18" w14:textId="7E443A7A" w:rsidR="00E00B56" w:rsidRPr="00E00B56" w:rsidRDefault="00E00B56" w:rsidP="00E00B56">
      <w:pPr>
        <w:spacing w:after="120" w:line="276" w:lineRule="auto"/>
      </w:pPr>
      <w:r w:rsidRPr="7F555CBC">
        <w:rPr>
          <w:rFonts w:ascii="Times New Roman" w:eastAsia="Times New Roman" w:hAnsi="Times New Roman"/>
          <w:sz w:val="24"/>
          <w:szCs w:val="24"/>
          <w:lang w:eastAsia="fr-BE"/>
        </w:rPr>
        <w:t xml:space="preserve"> </w:t>
      </w:r>
      <w:r>
        <w:t xml:space="preserve">Cependant, la </w:t>
      </w:r>
      <w:r w:rsidRPr="7F555CBC">
        <w:rPr>
          <w:b/>
          <w:bCs/>
        </w:rPr>
        <w:t>Plateforme</w:t>
      </w:r>
      <w:r>
        <w:t xml:space="preserve"> a</w:t>
      </w:r>
      <w:r w:rsidR="005F4033">
        <w:t xml:space="preserve">joute que </w:t>
      </w:r>
      <w:r>
        <w:t xml:space="preserve">pour que le télétravail </w:t>
      </w:r>
      <w:r w:rsidR="0E0429EC">
        <w:t xml:space="preserve">puisse </w:t>
      </w:r>
      <w:r>
        <w:t>constitue</w:t>
      </w:r>
      <w:r w:rsidR="0DE99DB5">
        <w:t>r</w:t>
      </w:r>
      <w:r>
        <w:t xml:space="preserve"> une opportunité réelle et égalitaire, il doit s’accompagner de conditions d’accès adaptées et équitables, notamment :</w:t>
      </w:r>
    </w:p>
    <w:p w14:paraId="233A7E5F" w14:textId="77777777" w:rsidR="00E00B56" w:rsidRPr="00E00B56" w:rsidRDefault="00E00B56" w:rsidP="00E00B56">
      <w:pPr>
        <w:numPr>
          <w:ilvl w:val="0"/>
          <w:numId w:val="12"/>
        </w:numPr>
        <w:spacing w:after="120" w:line="276" w:lineRule="auto"/>
      </w:pPr>
      <w:r>
        <w:lastRenderedPageBreak/>
        <w:t>Un accès facilité et financièrement soutenu à l’équipement informatique et aux outils numériques (ordinateurs, logiciels spécifiques, connexions internet sécurisées) ;</w:t>
      </w:r>
    </w:p>
    <w:p w14:paraId="160ED563" w14:textId="77777777" w:rsidR="00E00B56" w:rsidRPr="00E00B56" w:rsidRDefault="00E00B56" w:rsidP="00E00B56">
      <w:pPr>
        <w:numPr>
          <w:ilvl w:val="0"/>
          <w:numId w:val="12"/>
        </w:numPr>
        <w:spacing w:after="120" w:line="276" w:lineRule="auto"/>
      </w:pPr>
      <w:r>
        <w:t>Une formation au numérique adaptée aux besoins spécifiques des personnes concernées, y compris pour les logiciels d’accessibilité ou les interfaces simplifiées ;</w:t>
      </w:r>
    </w:p>
    <w:p w14:paraId="521CE665" w14:textId="77777777" w:rsidR="00E00B56" w:rsidRPr="00E00B56" w:rsidRDefault="00E00B56" w:rsidP="00E00B56">
      <w:pPr>
        <w:numPr>
          <w:ilvl w:val="0"/>
          <w:numId w:val="12"/>
        </w:numPr>
        <w:spacing w:after="120" w:line="276" w:lineRule="auto"/>
      </w:pPr>
      <w:r>
        <w:t>Un cadre juridique et organisationnel clair, garantissant les droits des télétravailleurs en situation de handicap (y compris en matière d’aménagements raisonnables à distance), ainsi qu’un soutien technique et humain structurel, pour prévenir l’isolement et maintenir un lien actif avec l’équipe et l’encadrement.</w:t>
      </w:r>
    </w:p>
    <w:p w14:paraId="19501F79" w14:textId="0E206801" w:rsidR="00EB3EB4" w:rsidRPr="00FD7F96" w:rsidRDefault="00E00B56" w:rsidP="00FD7F96">
      <w:pPr>
        <w:spacing w:after="120" w:line="276" w:lineRule="auto"/>
      </w:pPr>
      <w:r>
        <w:t>De même, sur le lieu de travail, la présence d’une assistance personnelle, sous la forme d’un accompagnateur ou d’aides individuelles spécifiques, est souvent une condition indispensable à l’exercice effectif d’une activité professionnelle. Pourtant, cette forme de soutien reste aujourd’hui très inégalement disponible et financée selon les Régions.</w:t>
      </w:r>
    </w:p>
    <w:p w14:paraId="1A05B66E" w14:textId="559E626E" w:rsidR="00FD7F96" w:rsidRPr="00FD7F96" w:rsidRDefault="00FD7F96" w:rsidP="000E223C">
      <w:pPr>
        <w:pStyle w:val="Titre3"/>
      </w:pPr>
      <w:r w:rsidRPr="00FD7F96">
        <w:t>Mise en œuvre de quotas d’emploi pour les PSH</w:t>
      </w:r>
    </w:p>
    <w:p w14:paraId="683467E2" w14:textId="77777777" w:rsidR="00FD7F96" w:rsidRPr="00FD7F96" w:rsidRDefault="00FD7F96" w:rsidP="00FD7F96">
      <w:pPr>
        <w:spacing w:after="120" w:line="276" w:lineRule="auto"/>
      </w:pPr>
      <w:r w:rsidRPr="00FD7F96">
        <w:t xml:space="preserve">La Plateforme demande que soient définis et appliqués </w:t>
      </w:r>
      <w:r w:rsidRPr="00FD7F96">
        <w:rPr>
          <w:b/>
          <w:bCs/>
        </w:rPr>
        <w:t>des quotas d’embauche de PSH dans la fonction publique</w:t>
      </w:r>
      <w:r w:rsidRPr="00FD7F96">
        <w:t xml:space="preserve">, et que leur </w:t>
      </w:r>
      <w:r w:rsidRPr="00FD7F96">
        <w:rPr>
          <w:b/>
          <w:bCs/>
        </w:rPr>
        <w:t>extension progressive au secteur privé</w:t>
      </w:r>
      <w:r w:rsidRPr="00FD7F96">
        <w:t xml:space="preserve"> soit étudiée. Il est essentiel que les pouvoirs publics donnent l’exemple, et que des mécanismes contraignants soient introduits pour garantir des résultats concrets.</w:t>
      </w:r>
    </w:p>
    <w:p w14:paraId="3D8245B5" w14:textId="0303D15F" w:rsidR="00FD7F96" w:rsidRPr="00FD7F96" w:rsidRDefault="00FD7F96" w:rsidP="000E223C">
      <w:pPr>
        <w:pStyle w:val="Titre3"/>
      </w:pPr>
      <w:r w:rsidRPr="00FD7F96">
        <w:t>Concertation systématique avec le secteur du handicap</w:t>
      </w:r>
    </w:p>
    <w:p w14:paraId="49B90D37" w14:textId="62296498" w:rsidR="00FD7F96" w:rsidRPr="00FD7F96" w:rsidRDefault="006A5D45" w:rsidP="7F555CBC">
      <w:pPr>
        <w:spacing w:after="120" w:line="276" w:lineRule="auto"/>
      </w:pPr>
      <w:r>
        <w:t xml:space="preserve">La </w:t>
      </w:r>
      <w:r w:rsidRPr="7F555CBC">
        <w:rPr>
          <w:b/>
          <w:bCs/>
        </w:rPr>
        <w:t>Plateforme</w:t>
      </w:r>
      <w:r>
        <w:t xml:space="preserve"> demande que t</w:t>
      </w:r>
      <w:r w:rsidR="00FD7F96">
        <w:t xml:space="preserve">oute réforme affectant directement les droits sociaux des personnes en situation de handicap </w:t>
      </w:r>
      <w:r w:rsidR="55558A13">
        <w:t>fasse</w:t>
      </w:r>
      <w:r w:rsidR="00FD7F96">
        <w:t xml:space="preserve"> l’objet d’une </w:t>
      </w:r>
      <w:r w:rsidR="00FD7F96" w:rsidRPr="7F555CBC">
        <w:rPr>
          <w:b/>
          <w:bCs/>
        </w:rPr>
        <w:t>concertation préalable avec les instances représentatives du secteur du handicap</w:t>
      </w:r>
      <w:r w:rsidR="00FD7F96">
        <w:t xml:space="preserve">, notamment le </w:t>
      </w:r>
      <w:r w:rsidR="00FD7F96" w:rsidRPr="7F555CBC">
        <w:rPr>
          <w:b/>
          <w:bCs/>
        </w:rPr>
        <w:t>Conseil Supérieur National des Personnes Handicapées (CSNPH)</w:t>
      </w:r>
      <w:r w:rsidR="00FD7F96">
        <w:t xml:space="preserve"> et les </w:t>
      </w:r>
      <w:r>
        <w:t>C</w:t>
      </w:r>
      <w:r w:rsidR="00FD7F96">
        <w:t>onseils régionaux. L’expertise des personnes concernées est indispensable pour éviter des effets contre-productifs.</w:t>
      </w:r>
    </w:p>
    <w:p w14:paraId="5B3CD65D" w14:textId="77777777" w:rsidR="00FD7F96" w:rsidRPr="00FD7F96" w:rsidRDefault="00000000" w:rsidP="00FD7F96">
      <w:pPr>
        <w:spacing w:after="120" w:line="276" w:lineRule="auto"/>
      </w:pPr>
      <w:r>
        <w:pict w14:anchorId="6CC0D503">
          <v:rect id="_x0000_i1025" style="width:0;height:1.5pt" o:hralign="center" o:hrstd="t" o:hr="t" fillcolor="#a0a0a0" stroked="f"/>
        </w:pict>
      </w:r>
    </w:p>
    <w:p w14:paraId="47F89064" w14:textId="398FEC0B" w:rsidR="00FD7F96" w:rsidRPr="00FD7F96" w:rsidRDefault="00FD7F96" w:rsidP="000E223C">
      <w:pPr>
        <w:pStyle w:val="Titre2"/>
      </w:pPr>
      <w:r w:rsidRPr="00FD7F96">
        <w:t>Conclusion</w:t>
      </w:r>
    </w:p>
    <w:p w14:paraId="25C827AB" w14:textId="23A53507" w:rsidR="00FD7F96" w:rsidRPr="00FD7F96" w:rsidRDefault="006A5D45" w:rsidP="00FD7F96">
      <w:pPr>
        <w:spacing w:after="120" w:line="276" w:lineRule="auto"/>
      </w:pPr>
      <w:r>
        <w:t>La Plateforme s’inquiète et insiste sur le fait que l</w:t>
      </w:r>
      <w:r w:rsidR="00FD7F96">
        <w:t xml:space="preserve">a réforme </w:t>
      </w:r>
      <w:r w:rsidR="00B83E9D">
        <w:t xml:space="preserve">fédérale </w:t>
      </w:r>
      <w:r w:rsidR="00FD7F96">
        <w:t xml:space="preserve">du chômage telle que conçue actuellement risque de </w:t>
      </w:r>
      <w:r w:rsidR="00FD7F96" w:rsidRPr="7F555CBC">
        <w:rPr>
          <w:b/>
          <w:bCs/>
        </w:rPr>
        <w:t>creuser davantage les inégalités</w:t>
      </w:r>
      <w:r w:rsidR="00FD7F96">
        <w:t xml:space="preserve"> et d’exclure durablement du marché du travail un public déjà en difficulté. Elle entre en contradiction avec les engagements internationaux de la Belgique, notamment la </w:t>
      </w:r>
      <w:r w:rsidR="00FD7F96" w:rsidRPr="7F555CBC">
        <w:rPr>
          <w:b/>
          <w:bCs/>
        </w:rPr>
        <w:t>Convention des Nations Unies relative aux droits des personnes handicapées</w:t>
      </w:r>
      <w:r w:rsidR="00FD7F96">
        <w:t>, qui impose aux États parties de garantir un accès égal au travail et à la sécurité sociale.</w:t>
      </w:r>
    </w:p>
    <w:p w14:paraId="0AA68EB6" w14:textId="77777777" w:rsidR="00FD7F96" w:rsidRPr="00FD7F96" w:rsidRDefault="00FD7F96" w:rsidP="00FD7F96">
      <w:pPr>
        <w:spacing w:after="120" w:line="276" w:lineRule="auto"/>
      </w:pPr>
      <w:r w:rsidRPr="00FD7F96">
        <w:t xml:space="preserve">La </w:t>
      </w:r>
      <w:r w:rsidRPr="00926B3D">
        <w:rPr>
          <w:b/>
          <w:bCs/>
        </w:rPr>
        <w:t>Plateforme</w:t>
      </w:r>
      <w:r w:rsidRPr="00FD7F96">
        <w:t xml:space="preserve"> demande donc :</w:t>
      </w:r>
    </w:p>
    <w:p w14:paraId="32BD8973" w14:textId="6DEA0F84" w:rsidR="00FD7F96" w:rsidRPr="00FD7F96" w:rsidRDefault="00FD7F96" w:rsidP="00FD7F96">
      <w:pPr>
        <w:numPr>
          <w:ilvl w:val="0"/>
          <w:numId w:val="5"/>
        </w:numPr>
        <w:spacing w:after="120" w:line="276" w:lineRule="auto"/>
      </w:pPr>
      <w:proofErr w:type="gramStart"/>
      <w:r w:rsidRPr="00FD7F96">
        <w:t>la</w:t>
      </w:r>
      <w:proofErr w:type="gramEnd"/>
      <w:r w:rsidRPr="00FD7F96">
        <w:t xml:space="preserve"> </w:t>
      </w:r>
      <w:r w:rsidRPr="00FD7F96">
        <w:rPr>
          <w:b/>
          <w:bCs/>
        </w:rPr>
        <w:t>suspension</w:t>
      </w:r>
      <w:r w:rsidRPr="00FD7F96">
        <w:t xml:space="preserve"> de la mesure pour les PSH,</w:t>
      </w:r>
      <w:r w:rsidR="00B116DC">
        <w:t xml:space="preserve"> et à minima un phasage différencié qui permette de prendre en compte les difficultés spécifiques de ce public particulier</w:t>
      </w:r>
    </w:p>
    <w:p w14:paraId="2C4ED67F" w14:textId="77777777" w:rsidR="00FD7F96" w:rsidRPr="00FD7F96" w:rsidRDefault="00FD7F96" w:rsidP="00FD7F96">
      <w:pPr>
        <w:numPr>
          <w:ilvl w:val="0"/>
          <w:numId w:val="5"/>
        </w:numPr>
        <w:spacing w:after="120" w:line="276" w:lineRule="auto"/>
      </w:pPr>
      <w:proofErr w:type="gramStart"/>
      <w:r w:rsidRPr="00FD7F96">
        <w:t>l’organisation</w:t>
      </w:r>
      <w:proofErr w:type="gramEnd"/>
      <w:r w:rsidRPr="00FD7F96">
        <w:t xml:space="preserve"> d’une </w:t>
      </w:r>
      <w:r w:rsidRPr="00FD7F96">
        <w:rPr>
          <w:b/>
          <w:bCs/>
        </w:rPr>
        <w:t>évaluation d’impact spécifique</w:t>
      </w:r>
      <w:r w:rsidRPr="00FD7F96">
        <w:t>,</w:t>
      </w:r>
    </w:p>
    <w:p w14:paraId="1FC2689C" w14:textId="72D3E733" w:rsidR="008C7FA9" w:rsidRPr="00FD7F96" w:rsidRDefault="00FD7F96" w:rsidP="00FD7F96">
      <w:pPr>
        <w:numPr>
          <w:ilvl w:val="0"/>
          <w:numId w:val="5"/>
        </w:numPr>
        <w:spacing w:after="120" w:line="276" w:lineRule="auto"/>
      </w:pPr>
      <w:proofErr w:type="gramStart"/>
      <w:r w:rsidRPr="00FD7F96">
        <w:t>et</w:t>
      </w:r>
      <w:proofErr w:type="gramEnd"/>
      <w:r w:rsidRPr="00FD7F96">
        <w:t xml:space="preserve"> l’ouverture immédiate d’une </w:t>
      </w:r>
      <w:r w:rsidRPr="00FD7F96">
        <w:rPr>
          <w:b/>
          <w:bCs/>
        </w:rPr>
        <w:t>concertation avec le secteur</w:t>
      </w:r>
      <w:r w:rsidRPr="00FD7F96">
        <w:t>.</w:t>
      </w:r>
    </w:p>
    <w:sectPr w:rsidR="008C7FA9" w:rsidRPr="00FD7F96" w:rsidSect="008A45C8">
      <w:footerReference w:type="default" r:id="rId19"/>
      <w:pgSz w:w="11906" w:h="16838" w:code="9"/>
      <w:pgMar w:top="1418" w:right="1418" w:bottom="1418" w:left="1418" w:header="850" w:footer="0" w:gutter="0"/>
      <w:lnNumType w:countBy="1" w:restart="continuous"/>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OUTAHER Gil" w:date="2025-06-03T15:34:00Z" w:initials="GB">
    <w:p w14:paraId="494591A5" w14:textId="77777777" w:rsidR="000D33A6" w:rsidRDefault="000D33A6" w:rsidP="000D33A6">
      <w:pPr>
        <w:pStyle w:val="Commentaire"/>
        <w:jc w:val="left"/>
      </w:pPr>
      <w:r>
        <w:rPr>
          <w:rStyle w:val="Marquedecommentaire"/>
        </w:rPr>
        <w:annotationRef/>
      </w:r>
      <w:r>
        <w:t>Ajouter des chiffres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4591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8F7F05" w16cex:dateUtc="2025-06-03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4591A5" w16cid:durableId="748F7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DB53E" w14:textId="77777777" w:rsidR="00E14C60" w:rsidRDefault="00E14C60" w:rsidP="00155584">
      <w:pPr>
        <w:spacing w:before="0"/>
      </w:pPr>
      <w:r>
        <w:separator/>
      </w:r>
    </w:p>
  </w:endnote>
  <w:endnote w:type="continuationSeparator" w:id="0">
    <w:p w14:paraId="0159FABD" w14:textId="77777777" w:rsidR="00E14C60" w:rsidRDefault="00E14C60" w:rsidP="001555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1B79" w14:textId="77777777" w:rsidR="000465FC" w:rsidRPr="00C05FB7" w:rsidRDefault="000465FC">
    <w:pPr>
      <w:pStyle w:val="Pieddepage"/>
      <w:jc w:val="right"/>
      <w:rPr>
        <w:rFonts w:asciiTheme="minorHAnsi" w:hAnsiTheme="minorHAnsi"/>
      </w:rPr>
    </w:pPr>
  </w:p>
  <w:p w14:paraId="27E8E5D9" w14:textId="77777777" w:rsidR="000465FC" w:rsidRDefault="000465FC" w:rsidP="0024614E">
    <w:pPr>
      <w:jc w:val="left"/>
      <w:rPr>
        <w:lang w:val="fr-FR"/>
      </w:rPr>
    </w:pPr>
  </w:p>
  <w:p w14:paraId="2CC67719" w14:textId="77777777" w:rsidR="000465FC" w:rsidRDefault="000465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DD16" w14:textId="77777777" w:rsidR="000465FC" w:rsidRDefault="000465FC">
    <w:pPr>
      <w:pStyle w:val="Pieddepage"/>
      <w:jc w:val="right"/>
    </w:pPr>
  </w:p>
  <w:p w14:paraId="32938DED" w14:textId="77777777" w:rsidR="008064EA" w:rsidRPr="008064EA" w:rsidRDefault="008064EA" w:rsidP="008064EA">
    <w:pPr>
      <w:spacing w:before="0"/>
      <w:jc w:val="center"/>
      <w:outlineLvl w:val="0"/>
      <w:rPr>
        <w:b/>
        <w:color w:val="002060"/>
        <w:sz w:val="20"/>
        <w:szCs w:val="20"/>
      </w:rPr>
    </w:pPr>
    <w:bookmarkStart w:id="0" w:name="_Hlk139359316"/>
    <w:r w:rsidRPr="00484114">
      <w:rPr>
        <w:b/>
        <w:color w:val="002060"/>
        <w:sz w:val="20"/>
        <w:szCs w:val="20"/>
      </w:rPr>
      <w:t>CONSEIL BRUXELLOIS DES PERSONNES EN SITUATION DE HANDICAP</w:t>
    </w:r>
  </w:p>
  <w:p w14:paraId="61B89D87" w14:textId="77777777" w:rsidR="008064EA" w:rsidRPr="00FD7F96" w:rsidRDefault="008064EA" w:rsidP="008064EA">
    <w:pPr>
      <w:spacing w:before="0"/>
      <w:jc w:val="center"/>
      <w:outlineLvl w:val="0"/>
      <w:rPr>
        <w:b/>
        <w:noProof/>
        <w:color w:val="AE6507"/>
        <w:sz w:val="20"/>
        <w:szCs w:val="20"/>
        <w:lang w:val="de-DE"/>
      </w:rPr>
    </w:pPr>
    <w:r w:rsidRPr="00FD7F96">
      <w:rPr>
        <w:b/>
        <w:noProof/>
        <w:color w:val="AE6507"/>
        <w:sz w:val="20"/>
        <w:szCs w:val="20"/>
        <w:lang w:val="de-DE"/>
      </w:rPr>
      <w:t>Boulevard Bischoffsheim 26 - 1000 Bruxelles</w:t>
    </w:r>
  </w:p>
  <w:p w14:paraId="02803B7C" w14:textId="77777777" w:rsidR="008064EA" w:rsidRPr="00FD7F96" w:rsidRDefault="008064EA" w:rsidP="008064EA">
    <w:pPr>
      <w:spacing w:before="0"/>
      <w:jc w:val="center"/>
      <w:outlineLvl w:val="0"/>
      <w:rPr>
        <w:b/>
        <w:noProof/>
        <w:color w:val="AE6507"/>
        <w:sz w:val="20"/>
        <w:szCs w:val="20"/>
        <w:lang w:val="de-DE"/>
      </w:rPr>
    </w:pPr>
    <w:r w:rsidRPr="00FD7F96">
      <w:rPr>
        <w:b/>
        <w:noProof/>
        <w:color w:val="AE6507"/>
        <w:sz w:val="20"/>
        <w:szCs w:val="20"/>
        <w:lang w:val="de-DE"/>
      </w:rPr>
      <w:t>Tél : 02/205.68.68 - brupartners@brupartners.brussels</w:t>
    </w:r>
  </w:p>
  <w:p w14:paraId="0C76A5B1" w14:textId="77777777" w:rsidR="00F236DB" w:rsidRPr="00FD7F96" w:rsidRDefault="008064EA" w:rsidP="008064EA">
    <w:pPr>
      <w:spacing w:before="0"/>
      <w:jc w:val="center"/>
      <w:outlineLvl w:val="0"/>
      <w:rPr>
        <w:b/>
        <w:color w:val="AE6507"/>
        <w:sz w:val="20"/>
        <w:szCs w:val="20"/>
        <w:lang w:val="de-DE"/>
      </w:rPr>
    </w:pPr>
    <w:r w:rsidRPr="00FD7F96">
      <w:rPr>
        <w:b/>
        <w:noProof/>
        <w:color w:val="AE6507"/>
        <w:sz w:val="20"/>
        <w:szCs w:val="20"/>
        <w:lang w:val="de-DE"/>
      </w:rPr>
      <w:t>www.brupartners.brussels/fr/conseil-bruxellois-des-personnes-en-situation-de-handicap</w:t>
    </w:r>
    <w:bookmarkEnd w:id="0"/>
  </w:p>
  <w:p w14:paraId="3EBF4022" w14:textId="77777777" w:rsidR="000465FC" w:rsidRPr="00FD7F96" w:rsidRDefault="000465FC">
    <w:pPr>
      <w:pStyle w:val="Pieddepag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30701239"/>
      <w:docPartObj>
        <w:docPartGallery w:val="Page Numbers (Bottom of Page)"/>
        <w:docPartUnique/>
      </w:docPartObj>
    </w:sdtPr>
    <w:sdtEndPr>
      <w:rPr>
        <w:sz w:val="22"/>
        <w:szCs w:val="22"/>
      </w:rPr>
    </w:sdtEndPr>
    <w:sdtContent>
      <w:sdt>
        <w:sdtPr>
          <w:rPr>
            <w:rFonts w:asciiTheme="minorHAnsi" w:hAnsiTheme="minorHAnsi"/>
            <w:sz w:val="18"/>
            <w:szCs w:val="18"/>
          </w:rPr>
          <w:id w:val="30701240"/>
          <w:docPartObj>
            <w:docPartGallery w:val="Page Numbers (Top of Page)"/>
            <w:docPartUnique/>
          </w:docPartObj>
        </w:sdtPr>
        <w:sdtEndPr>
          <w:rPr>
            <w:sz w:val="22"/>
            <w:szCs w:val="22"/>
          </w:rPr>
        </w:sdtEndPr>
        <w:sdtContent>
          <w:p w14:paraId="51D10D3E" w14:textId="04F7E55F" w:rsidR="000465FC" w:rsidRPr="00C05FB7" w:rsidRDefault="00000000" w:rsidP="008A45C8">
            <w:pPr>
              <w:pStyle w:val="Pieddepage"/>
              <w:rPr>
                <w:rFonts w:asciiTheme="minorHAnsi" w:hAnsiTheme="minorHAnsi"/>
              </w:rPr>
            </w:pPr>
            <w:sdt>
              <w:sdtPr>
                <w:rPr>
                  <w:rFonts w:asciiTheme="minorHAnsi" w:hAnsiTheme="minorHAnsi"/>
                  <w:lang w:val="fr-FR"/>
                </w:rPr>
                <w:alias w:val="Projet d'avis ou avant-projet d'avis"/>
                <w:tag w:val="Projet d'avis ou avant-projet d'avis"/>
                <w:id w:val="-1385174418"/>
                <w:placeholder>
                  <w:docPart w:val="71717311661040CBA7CE333FABF0172C"/>
                </w:placeholder>
                <w:dropDownList>
                  <w:listItem w:value="Choisissez un élément."/>
                  <w:listItem w:displayText="Projet d'avis" w:value="Projet d'avis"/>
                  <w:listItem w:displayText="Avant-projet d'avis" w:value="Avant-projet d'avis"/>
                </w:dropDownList>
              </w:sdtPr>
              <w:sdtContent>
                <w:r w:rsidR="005A4BDD">
                  <w:rPr>
                    <w:rFonts w:asciiTheme="minorHAnsi" w:hAnsiTheme="minorHAnsi"/>
                    <w:lang w:val="fr-FR"/>
                  </w:rPr>
                  <w:t>Avant-projet d'avis</w:t>
                </w:r>
              </w:sdtContent>
            </w:sdt>
            <w:r w:rsidR="00155584" w:rsidRPr="001E18B5">
              <w:rPr>
                <w:rFonts w:asciiTheme="minorHAnsi" w:hAnsiTheme="minorHAnsi"/>
                <w:lang w:val="fr-FR"/>
              </w:rPr>
              <w:t xml:space="preserve"> V</w:t>
            </w:r>
            <w:sdt>
              <w:sdtPr>
                <w:rPr>
                  <w:rFonts w:asciiTheme="minorHAnsi" w:hAnsiTheme="minorHAnsi"/>
                  <w:lang w:val="fr-FR"/>
                </w:rPr>
                <w:alias w:val="Choix de la version"/>
                <w:tag w:val="Choix de la version"/>
                <w:id w:val="-144358501"/>
                <w:placeholder>
                  <w:docPart w:val="3EE2AB82509E4590AE0223484504FA9D"/>
                </w:placeholder>
                <w:dropDownList>
                  <w:listItem w:value="Choisissez un élément."/>
                  <w:listItem w:displayText="0" w:value="0"/>
                  <w:listItem w:displayText="1" w:value="1"/>
                  <w:listItem w:displayText="2" w:value="2"/>
                  <w:listItem w:displayText="3" w:value="3"/>
                  <w:listItem w:displayText="4" w:value="4"/>
                  <w:listItem w:displayText="5" w:value="5"/>
                  <w:listItem w:displayText="6" w:value="6"/>
                  <w:listItem w:displayText="PLEN" w:value="PLEN"/>
                </w:dropDownList>
              </w:sdtPr>
              <w:sdtContent>
                <w:r w:rsidR="005A4BDD">
                  <w:rPr>
                    <w:rFonts w:asciiTheme="minorHAnsi" w:hAnsiTheme="minorHAnsi"/>
                    <w:lang w:val="fr-FR"/>
                  </w:rPr>
                  <w:t>0</w:t>
                </w:r>
              </w:sdtContent>
            </w:sdt>
            <w:r w:rsidR="00155584" w:rsidRPr="001E18B5">
              <w:rPr>
                <w:rFonts w:asciiTheme="minorHAnsi" w:hAnsiTheme="minorHAnsi"/>
                <w:lang w:val="fr-FR"/>
              </w:rPr>
              <w:t xml:space="preserve"> </w:t>
            </w:r>
            <w:sdt>
              <w:sdtPr>
                <w:rPr>
                  <w:rFonts w:asciiTheme="minorHAnsi" w:hAnsiTheme="minorHAnsi"/>
                  <w:lang w:val="fr-FR"/>
                </w:rPr>
                <w:alias w:val="date de la réunion ou de la PLEN"/>
                <w:tag w:val="date de la réunion ou de la PLEN"/>
                <w:id w:val="-2012519607"/>
                <w:placeholder>
                  <w:docPart w:val="827B3DA33A0740B7BA8499588974F748"/>
                </w:placeholder>
                <w:date w:fullDate="2025-06-11T00:00:00Z">
                  <w:dateFormat w:val="dd-MM-yy"/>
                  <w:lid w:val="fr-BE"/>
                  <w:storeMappedDataAs w:val="dateTime"/>
                  <w:calendar w:val="gregorian"/>
                </w:date>
              </w:sdtPr>
              <w:sdtContent>
                <w:r w:rsidR="005A4BDD">
                  <w:rPr>
                    <w:rFonts w:asciiTheme="minorHAnsi" w:hAnsiTheme="minorHAnsi"/>
                  </w:rPr>
                  <w:t>11-06-25</w:t>
                </w:r>
              </w:sdtContent>
            </w:sdt>
            <w:r w:rsidR="001E18B5">
              <w:rPr>
                <w:rFonts w:asciiTheme="minorHAnsi" w:hAnsiTheme="minorHAnsi"/>
                <w:lang w:val="fr-FR"/>
              </w:rPr>
              <w:tab/>
            </w:r>
            <w:r w:rsidR="00155584" w:rsidRPr="00C05FB7">
              <w:rPr>
                <w:rFonts w:asciiTheme="minorHAnsi" w:hAnsiTheme="minorHAnsi"/>
                <w:b/>
              </w:rPr>
              <w:fldChar w:fldCharType="begin"/>
            </w:r>
            <w:r w:rsidR="00155584" w:rsidRPr="00C05FB7">
              <w:rPr>
                <w:rFonts w:asciiTheme="minorHAnsi" w:hAnsiTheme="minorHAnsi"/>
                <w:b/>
              </w:rPr>
              <w:instrText>PAGE</w:instrText>
            </w:r>
            <w:r w:rsidR="00155584" w:rsidRPr="00C05FB7">
              <w:rPr>
                <w:rFonts w:asciiTheme="minorHAnsi" w:hAnsiTheme="minorHAnsi"/>
                <w:b/>
              </w:rPr>
              <w:fldChar w:fldCharType="separate"/>
            </w:r>
            <w:r w:rsidR="00F25818">
              <w:rPr>
                <w:rFonts w:asciiTheme="minorHAnsi" w:hAnsiTheme="minorHAnsi"/>
                <w:b/>
                <w:noProof/>
              </w:rPr>
              <w:t>2</w:t>
            </w:r>
            <w:r w:rsidR="00155584" w:rsidRPr="00C05FB7">
              <w:rPr>
                <w:rFonts w:asciiTheme="minorHAnsi" w:hAnsiTheme="minorHAnsi"/>
                <w:b/>
              </w:rPr>
              <w:fldChar w:fldCharType="end"/>
            </w:r>
            <w:r w:rsidR="00155584">
              <w:rPr>
                <w:rFonts w:asciiTheme="minorHAnsi" w:hAnsiTheme="minorHAnsi"/>
                <w:b/>
              </w:rPr>
              <w:t>/</w:t>
            </w:r>
            <w:r w:rsidR="00155584" w:rsidRPr="00C05FB7">
              <w:rPr>
                <w:rFonts w:asciiTheme="minorHAnsi" w:hAnsiTheme="minorHAnsi"/>
                <w:b/>
              </w:rPr>
              <w:fldChar w:fldCharType="begin"/>
            </w:r>
            <w:r w:rsidR="00155584" w:rsidRPr="00C05FB7">
              <w:rPr>
                <w:rFonts w:asciiTheme="minorHAnsi" w:hAnsiTheme="minorHAnsi"/>
                <w:b/>
              </w:rPr>
              <w:instrText>NUMPAGES</w:instrText>
            </w:r>
            <w:r w:rsidR="00155584" w:rsidRPr="00C05FB7">
              <w:rPr>
                <w:rFonts w:asciiTheme="minorHAnsi" w:hAnsiTheme="minorHAnsi"/>
                <w:b/>
              </w:rPr>
              <w:fldChar w:fldCharType="separate"/>
            </w:r>
            <w:r w:rsidR="00F25818">
              <w:rPr>
                <w:rFonts w:asciiTheme="minorHAnsi" w:hAnsiTheme="minorHAnsi"/>
                <w:b/>
                <w:noProof/>
              </w:rPr>
              <w:t>3</w:t>
            </w:r>
            <w:r w:rsidR="00155584" w:rsidRPr="00C05FB7">
              <w:rPr>
                <w:rFonts w:asciiTheme="minorHAnsi" w:hAnsiTheme="minorHAnsi"/>
                <w:b/>
              </w:rPr>
              <w:fldChar w:fldCharType="end"/>
            </w:r>
          </w:p>
        </w:sdtContent>
      </w:sdt>
    </w:sdtContent>
  </w:sdt>
  <w:p w14:paraId="5BF5EE85" w14:textId="77777777" w:rsidR="000465FC" w:rsidRDefault="000465FC" w:rsidP="0024614E">
    <w:pPr>
      <w:jc w:val="left"/>
      <w:rPr>
        <w:lang w:val="fr-FR"/>
      </w:rPr>
    </w:pPr>
  </w:p>
  <w:p w14:paraId="04CC4CD8" w14:textId="77777777" w:rsidR="000465FC" w:rsidRDefault="000465FC" w:rsidP="008A45C8">
    <w:pP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E41C0" w14:textId="77777777" w:rsidR="00E14C60" w:rsidRDefault="00E14C60" w:rsidP="00155584">
      <w:pPr>
        <w:spacing w:before="0"/>
      </w:pPr>
      <w:r>
        <w:separator/>
      </w:r>
    </w:p>
  </w:footnote>
  <w:footnote w:type="continuationSeparator" w:id="0">
    <w:p w14:paraId="6CCC870F" w14:textId="77777777" w:rsidR="00E14C60" w:rsidRDefault="00E14C60" w:rsidP="00155584">
      <w:pPr>
        <w:spacing w:before="0"/>
      </w:pPr>
      <w:r>
        <w:continuationSeparator/>
      </w:r>
    </w:p>
  </w:footnote>
  <w:footnote w:id="1">
    <w:p w14:paraId="2B66291F" w14:textId="66D55F6D" w:rsidR="00E21AB7" w:rsidRPr="00E21AB7" w:rsidRDefault="00E21AB7">
      <w:pPr>
        <w:pStyle w:val="Notedebasdepage"/>
        <w:rPr>
          <w:lang w:val="fr-FR"/>
        </w:rPr>
      </w:pPr>
      <w:r>
        <w:rPr>
          <w:rStyle w:val="Appelnotedebasdep"/>
        </w:rPr>
        <w:footnoteRef/>
      </w:r>
      <w:r>
        <w:t xml:space="preserve"> </w:t>
      </w:r>
      <w:r w:rsidR="00FF0E5E">
        <w:rPr>
          <w:lang w:val="fr-FR"/>
        </w:rPr>
        <w:t>BNP Paribas Fortis</w:t>
      </w:r>
      <w:r w:rsidR="00880505">
        <w:rPr>
          <w:lang w:val="fr-FR"/>
        </w:rPr>
        <w:t xml:space="preserve">, </w:t>
      </w:r>
      <w:r w:rsidR="00FF0E5E">
        <w:rPr>
          <w:lang w:val="fr-FR"/>
        </w:rPr>
        <w:t>« </w:t>
      </w:r>
      <w:r w:rsidR="00DC7A64">
        <w:rPr>
          <w:lang w:val="fr-FR"/>
        </w:rPr>
        <w:t>Etude d’impact 2025</w:t>
      </w:r>
      <w:r w:rsidR="00FF0E5E">
        <w:rPr>
          <w:lang w:val="fr-FR"/>
        </w:rPr>
        <w:t xml:space="preserve"> de l’asbl Diversicom</w:t>
      </w:r>
      <w:r w:rsidR="00BF1487">
        <w:rPr>
          <w:lang w:val="fr-FR"/>
        </w:rPr>
        <w:t> »</w:t>
      </w:r>
    </w:p>
  </w:footnote>
  <w:footnote w:id="2">
    <w:p w14:paraId="19AA498D" w14:textId="2C6F4439" w:rsidR="00AB0F28" w:rsidRPr="00AB0F28" w:rsidRDefault="00AB0F28">
      <w:pPr>
        <w:pStyle w:val="Notedebasdepage"/>
        <w:rPr>
          <w:lang w:val="fr-FR"/>
        </w:rPr>
      </w:pPr>
      <w:r>
        <w:rPr>
          <w:rStyle w:val="Appelnotedebasdep"/>
        </w:rPr>
        <w:footnoteRef/>
      </w:r>
      <w:r>
        <w:t xml:space="preserve"> </w:t>
      </w:r>
      <w:r w:rsidR="00BF7FA0">
        <w:t xml:space="preserve">La Libre Belgique, </w:t>
      </w:r>
      <w:r w:rsidR="00BF7FA0">
        <w:rPr>
          <w:i/>
          <w:iCs/>
        </w:rPr>
        <w:t>Chaque insertion professionnelle d’un travailleur en situation de handicap génère 31 000</w:t>
      </w:r>
      <w:r w:rsidR="00306CFC">
        <w:rPr>
          <w:i/>
          <w:iCs/>
        </w:rPr>
        <w:t xml:space="preserve"> € d’argent public, </w:t>
      </w:r>
      <w:r w:rsidR="00306CFC" w:rsidRPr="000E223C">
        <w:t>03 juin 2025</w:t>
      </w:r>
      <w:r w:rsidR="00306CFC">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A3B3" w14:textId="77777777" w:rsidR="000465FC" w:rsidRPr="00D23C2F" w:rsidRDefault="00155584" w:rsidP="006F5472">
    <w:pPr>
      <w:pStyle w:val="En-tte"/>
      <w:jc w:val="right"/>
    </w:pPr>
    <w:r>
      <w:tab/>
    </w:r>
    <w:r w:rsidR="002D3895">
      <w:rPr>
        <w:color w:val="949499"/>
      </w:rPr>
      <w:t>A-</w:t>
    </w:r>
    <w:proofErr w:type="spellStart"/>
    <w:r w:rsidR="002D3895">
      <w:rPr>
        <w:color w:val="949499"/>
      </w:rPr>
      <w:t>xxxx</w:t>
    </w:r>
    <w:proofErr w:type="spellEnd"/>
    <w:r w:rsidR="002D3895">
      <w:rPr>
        <w:color w:val="949499"/>
      </w:rPr>
      <w:t>-xxx-</w:t>
    </w:r>
    <w:r w:rsidR="007C229B">
      <w:rPr>
        <w:color w:val="949499"/>
      </w:rPr>
      <w:t>CPH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AAC8" w14:textId="77777777" w:rsidR="000465FC" w:rsidRDefault="007B13C7" w:rsidP="00E834DE">
    <w:pPr>
      <w:pStyle w:val="En-tte"/>
      <w:jc w:val="center"/>
    </w:pPr>
    <w:r>
      <w:rPr>
        <w:noProof/>
      </w:rPr>
      <w:drawing>
        <wp:anchor distT="0" distB="0" distL="114300" distR="114300" simplePos="0" relativeHeight="251659264" behindDoc="1" locked="0" layoutInCell="1" allowOverlap="1" wp14:anchorId="201F1A20" wp14:editId="643A09AD">
          <wp:simplePos x="0" y="0"/>
          <wp:positionH relativeFrom="column">
            <wp:posOffset>0</wp:posOffset>
          </wp:positionH>
          <wp:positionV relativeFrom="page">
            <wp:posOffset>540385</wp:posOffset>
          </wp:positionV>
          <wp:extent cx="5760000" cy="1432800"/>
          <wp:effectExtent l="0" t="0" r="0" b="0"/>
          <wp:wrapNone/>
          <wp:docPr id="3"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0000" cy="143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31E"/>
    <w:multiLevelType w:val="hybridMultilevel"/>
    <w:tmpl w:val="D50817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4C7B1F"/>
    <w:multiLevelType w:val="multilevel"/>
    <w:tmpl w:val="2FAC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76880"/>
    <w:multiLevelType w:val="multilevel"/>
    <w:tmpl w:val="9122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63048"/>
    <w:multiLevelType w:val="multilevel"/>
    <w:tmpl w:val="E228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C9EBB"/>
    <w:multiLevelType w:val="multilevel"/>
    <w:tmpl w:val="B8B449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A639AF"/>
    <w:multiLevelType w:val="multilevel"/>
    <w:tmpl w:val="3D62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B1007"/>
    <w:multiLevelType w:val="hybridMultilevel"/>
    <w:tmpl w:val="08DC53A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6134B6"/>
    <w:multiLevelType w:val="multilevel"/>
    <w:tmpl w:val="2C3C512E"/>
    <w:lvl w:ilvl="0">
      <w:start w:val="1"/>
      <w:numFmt w:val="decimal"/>
      <w:pStyle w:val="Titre2"/>
      <w:lvlText w:val="%1."/>
      <w:lvlJc w:val="left"/>
      <w:pPr>
        <w:ind w:left="720" w:hanging="360"/>
      </w:pPr>
      <w:rPr>
        <w:rFonts w:hint="default"/>
      </w:rPr>
    </w:lvl>
    <w:lvl w:ilvl="1">
      <w:start w:val="2"/>
      <w:numFmt w:val="decimal"/>
      <w:pStyle w:val="Titre3"/>
      <w:lvlText w:val="%1.%2"/>
      <w:lvlJc w:val="left"/>
      <w:pPr>
        <w:ind w:left="1140" w:hanging="435"/>
      </w:pPr>
    </w:lvl>
    <w:lvl w:ilvl="2">
      <w:start w:val="1"/>
      <w:numFmt w:val="decimalZero"/>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8" w15:restartNumberingAfterBreak="0">
    <w:nsid w:val="39B805B2"/>
    <w:multiLevelType w:val="multilevel"/>
    <w:tmpl w:val="5D2C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26B58"/>
    <w:multiLevelType w:val="multilevel"/>
    <w:tmpl w:val="BC10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051DC"/>
    <w:multiLevelType w:val="multilevel"/>
    <w:tmpl w:val="343E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96373"/>
    <w:multiLevelType w:val="multilevel"/>
    <w:tmpl w:val="17E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600F5F"/>
    <w:multiLevelType w:val="hybridMultilevel"/>
    <w:tmpl w:val="C5CCA11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16cid:durableId="1079474724">
    <w:abstractNumId w:val="4"/>
  </w:num>
  <w:num w:numId="2" w16cid:durableId="709766060">
    <w:abstractNumId w:val="7"/>
  </w:num>
  <w:num w:numId="3" w16cid:durableId="1878469748">
    <w:abstractNumId w:val="1"/>
  </w:num>
  <w:num w:numId="4" w16cid:durableId="39747468">
    <w:abstractNumId w:val="2"/>
  </w:num>
  <w:num w:numId="5" w16cid:durableId="320929934">
    <w:abstractNumId w:val="11"/>
  </w:num>
  <w:num w:numId="6" w16cid:durableId="1735738165">
    <w:abstractNumId w:val="0"/>
  </w:num>
  <w:num w:numId="7" w16cid:durableId="567884994">
    <w:abstractNumId w:val="6"/>
  </w:num>
  <w:num w:numId="8" w16cid:durableId="239408635">
    <w:abstractNumId w:val="12"/>
  </w:num>
  <w:num w:numId="9" w16cid:durableId="1374816398">
    <w:abstractNumId w:val="5"/>
  </w:num>
  <w:num w:numId="10" w16cid:durableId="2120907052">
    <w:abstractNumId w:val="9"/>
  </w:num>
  <w:num w:numId="11" w16cid:durableId="891311830">
    <w:abstractNumId w:val="3"/>
  </w:num>
  <w:num w:numId="12" w16cid:durableId="913707863">
    <w:abstractNumId w:val="8"/>
  </w:num>
  <w:num w:numId="13" w16cid:durableId="8063152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UTAHER Gil">
    <w15:presenceInfo w15:providerId="AD" w15:userId="S::gboutaher@brupartners.brussels::2c72306a-1fd2-436c-b2eb-b6929e5c1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96"/>
    <w:rsid w:val="00005191"/>
    <w:rsid w:val="00023745"/>
    <w:rsid w:val="00024CE7"/>
    <w:rsid w:val="00036C80"/>
    <w:rsid w:val="000409B6"/>
    <w:rsid w:val="000465FC"/>
    <w:rsid w:val="00060D1A"/>
    <w:rsid w:val="000653DA"/>
    <w:rsid w:val="000A4EE5"/>
    <w:rsid w:val="000B7848"/>
    <w:rsid w:val="000C7ED8"/>
    <w:rsid w:val="000D33A6"/>
    <w:rsid w:val="000D5AC3"/>
    <w:rsid w:val="000D7811"/>
    <w:rsid w:val="000E223C"/>
    <w:rsid w:val="000E46FB"/>
    <w:rsid w:val="000F45DE"/>
    <w:rsid w:val="00101183"/>
    <w:rsid w:val="00102DAF"/>
    <w:rsid w:val="001056CA"/>
    <w:rsid w:val="00107A28"/>
    <w:rsid w:val="00116FDB"/>
    <w:rsid w:val="0014578E"/>
    <w:rsid w:val="00155584"/>
    <w:rsid w:val="00187D29"/>
    <w:rsid w:val="001B268A"/>
    <w:rsid w:val="001B4EB5"/>
    <w:rsid w:val="001E18B5"/>
    <w:rsid w:val="00220F6F"/>
    <w:rsid w:val="002275B7"/>
    <w:rsid w:val="002C2E6C"/>
    <w:rsid w:val="002D3895"/>
    <w:rsid w:val="002D714B"/>
    <w:rsid w:val="002E59E5"/>
    <w:rsid w:val="002E6BFD"/>
    <w:rsid w:val="00306CFC"/>
    <w:rsid w:val="00352DFC"/>
    <w:rsid w:val="00362D58"/>
    <w:rsid w:val="003C1CF0"/>
    <w:rsid w:val="003F7D72"/>
    <w:rsid w:val="004076E9"/>
    <w:rsid w:val="00423E54"/>
    <w:rsid w:val="00461598"/>
    <w:rsid w:val="004C04AB"/>
    <w:rsid w:val="004D33B6"/>
    <w:rsid w:val="004F618B"/>
    <w:rsid w:val="00507311"/>
    <w:rsid w:val="00527DF7"/>
    <w:rsid w:val="005309B1"/>
    <w:rsid w:val="00537BED"/>
    <w:rsid w:val="00547250"/>
    <w:rsid w:val="00567483"/>
    <w:rsid w:val="00574C0C"/>
    <w:rsid w:val="00580C0D"/>
    <w:rsid w:val="00584B99"/>
    <w:rsid w:val="00587C57"/>
    <w:rsid w:val="005A4BDD"/>
    <w:rsid w:val="005C2304"/>
    <w:rsid w:val="005C4F71"/>
    <w:rsid w:val="005D565C"/>
    <w:rsid w:val="005D715B"/>
    <w:rsid w:val="005E0693"/>
    <w:rsid w:val="005F4033"/>
    <w:rsid w:val="00636EA1"/>
    <w:rsid w:val="006377E0"/>
    <w:rsid w:val="006655B7"/>
    <w:rsid w:val="00673ED0"/>
    <w:rsid w:val="00683B5D"/>
    <w:rsid w:val="0068406A"/>
    <w:rsid w:val="006A3323"/>
    <w:rsid w:val="006A5D45"/>
    <w:rsid w:val="006B008D"/>
    <w:rsid w:val="006B24F5"/>
    <w:rsid w:val="006B631F"/>
    <w:rsid w:val="006B7BA1"/>
    <w:rsid w:val="006D2C47"/>
    <w:rsid w:val="006D2DF8"/>
    <w:rsid w:val="006E4588"/>
    <w:rsid w:val="00702D0E"/>
    <w:rsid w:val="00727983"/>
    <w:rsid w:val="0076033C"/>
    <w:rsid w:val="00774CA8"/>
    <w:rsid w:val="007B13C7"/>
    <w:rsid w:val="007C229B"/>
    <w:rsid w:val="007C664A"/>
    <w:rsid w:val="007E4098"/>
    <w:rsid w:val="008064EA"/>
    <w:rsid w:val="00832C6C"/>
    <w:rsid w:val="00872629"/>
    <w:rsid w:val="00880505"/>
    <w:rsid w:val="00886B6C"/>
    <w:rsid w:val="008A45C8"/>
    <w:rsid w:val="008C7FA9"/>
    <w:rsid w:val="008F7DE0"/>
    <w:rsid w:val="00926B3D"/>
    <w:rsid w:val="0093768C"/>
    <w:rsid w:val="00954D85"/>
    <w:rsid w:val="009D07BC"/>
    <w:rsid w:val="009D0A36"/>
    <w:rsid w:val="00A004B6"/>
    <w:rsid w:val="00A20BF3"/>
    <w:rsid w:val="00A23AAE"/>
    <w:rsid w:val="00A664F5"/>
    <w:rsid w:val="00AB0F28"/>
    <w:rsid w:val="00AB452A"/>
    <w:rsid w:val="00AB789B"/>
    <w:rsid w:val="00AE016F"/>
    <w:rsid w:val="00AF0446"/>
    <w:rsid w:val="00B05EA8"/>
    <w:rsid w:val="00B116DC"/>
    <w:rsid w:val="00B20739"/>
    <w:rsid w:val="00B56200"/>
    <w:rsid w:val="00B60465"/>
    <w:rsid w:val="00B643FE"/>
    <w:rsid w:val="00B725B8"/>
    <w:rsid w:val="00B81FD7"/>
    <w:rsid w:val="00B83E9D"/>
    <w:rsid w:val="00BB4ADF"/>
    <w:rsid w:val="00BC0E90"/>
    <w:rsid w:val="00BD45E1"/>
    <w:rsid w:val="00BF1487"/>
    <w:rsid w:val="00BF7FA0"/>
    <w:rsid w:val="00C44DC8"/>
    <w:rsid w:val="00C61205"/>
    <w:rsid w:val="00C866EC"/>
    <w:rsid w:val="00C90DB1"/>
    <w:rsid w:val="00C96DCE"/>
    <w:rsid w:val="00CB66C1"/>
    <w:rsid w:val="00CD1971"/>
    <w:rsid w:val="00CE4A1B"/>
    <w:rsid w:val="00D15E0E"/>
    <w:rsid w:val="00D17AD5"/>
    <w:rsid w:val="00D23C2F"/>
    <w:rsid w:val="00D359E8"/>
    <w:rsid w:val="00D85FDE"/>
    <w:rsid w:val="00DA477B"/>
    <w:rsid w:val="00DA7A2C"/>
    <w:rsid w:val="00DC6275"/>
    <w:rsid w:val="00DC7A64"/>
    <w:rsid w:val="00E00B56"/>
    <w:rsid w:val="00E14C60"/>
    <w:rsid w:val="00E21AB7"/>
    <w:rsid w:val="00E23947"/>
    <w:rsid w:val="00E30FE5"/>
    <w:rsid w:val="00E472BC"/>
    <w:rsid w:val="00E50CEF"/>
    <w:rsid w:val="00E53EB5"/>
    <w:rsid w:val="00E7646D"/>
    <w:rsid w:val="00E81867"/>
    <w:rsid w:val="00E834DE"/>
    <w:rsid w:val="00E94F23"/>
    <w:rsid w:val="00E96FED"/>
    <w:rsid w:val="00EB3EB4"/>
    <w:rsid w:val="00EF588D"/>
    <w:rsid w:val="00F01269"/>
    <w:rsid w:val="00F03042"/>
    <w:rsid w:val="00F236DB"/>
    <w:rsid w:val="00F25818"/>
    <w:rsid w:val="00F80648"/>
    <w:rsid w:val="00F964DF"/>
    <w:rsid w:val="00FB1173"/>
    <w:rsid w:val="00FB63F1"/>
    <w:rsid w:val="00FD7F96"/>
    <w:rsid w:val="00FE7CE6"/>
    <w:rsid w:val="00FF0E5E"/>
    <w:rsid w:val="00FF55AE"/>
    <w:rsid w:val="08D6DDD3"/>
    <w:rsid w:val="0DE99DB5"/>
    <w:rsid w:val="0E0429EC"/>
    <w:rsid w:val="0F649991"/>
    <w:rsid w:val="101E5612"/>
    <w:rsid w:val="1DB42C5E"/>
    <w:rsid w:val="1EF1A1A5"/>
    <w:rsid w:val="2652FC3F"/>
    <w:rsid w:val="36A5D60F"/>
    <w:rsid w:val="36CA393C"/>
    <w:rsid w:val="3908A287"/>
    <w:rsid w:val="42C5171B"/>
    <w:rsid w:val="43F49AB5"/>
    <w:rsid w:val="4938B009"/>
    <w:rsid w:val="4FC31EAE"/>
    <w:rsid w:val="5355B3C1"/>
    <w:rsid w:val="55558A13"/>
    <w:rsid w:val="5E9D418E"/>
    <w:rsid w:val="6CD20269"/>
    <w:rsid w:val="72226187"/>
    <w:rsid w:val="77CA5C7F"/>
    <w:rsid w:val="7F555C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0B86C"/>
  <w15:chartTrackingRefBased/>
  <w15:docId w15:val="{49B368EE-3DB9-4AF9-A335-EC6C32CA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C8"/>
    <w:pPr>
      <w:spacing w:before="120" w:after="0" w:line="240" w:lineRule="auto"/>
      <w:jc w:val="both"/>
    </w:pPr>
    <w:rPr>
      <w:rFonts w:ascii="Calibri" w:eastAsia="Calibri" w:hAnsi="Calibri" w:cs="Times New Roman"/>
    </w:rPr>
  </w:style>
  <w:style w:type="paragraph" w:styleId="Titre1">
    <w:name w:val="heading 1"/>
    <w:basedOn w:val="Normal"/>
    <w:next w:val="Normal"/>
    <w:link w:val="Titre1Car"/>
    <w:uiPriority w:val="9"/>
    <w:qFormat/>
    <w:rsid w:val="00023745"/>
    <w:pPr>
      <w:spacing w:before="360" w:after="120"/>
      <w:outlineLvl w:val="0"/>
    </w:pPr>
    <w:rPr>
      <w:b/>
      <w:bCs/>
      <w:color w:val="002060"/>
      <w:sz w:val="36"/>
      <w:szCs w:val="36"/>
      <w:lang w:val="fr-FR"/>
    </w:rPr>
  </w:style>
  <w:style w:type="paragraph" w:styleId="Titre2">
    <w:name w:val="heading 2"/>
    <w:basedOn w:val="Paragraphedeliste"/>
    <w:next w:val="Normal"/>
    <w:link w:val="Titre2Car"/>
    <w:uiPriority w:val="9"/>
    <w:unhideWhenUsed/>
    <w:qFormat/>
    <w:rsid w:val="00C44DC8"/>
    <w:pPr>
      <w:numPr>
        <w:numId w:val="2"/>
      </w:numPr>
      <w:spacing w:before="240" w:after="120"/>
      <w:outlineLvl w:val="1"/>
    </w:pPr>
    <w:rPr>
      <w:b/>
      <w:bCs/>
      <w:color w:val="00679A"/>
      <w:sz w:val="32"/>
      <w:szCs w:val="32"/>
      <w:lang w:val="fr-FR"/>
    </w:rPr>
  </w:style>
  <w:style w:type="paragraph" w:styleId="Titre3">
    <w:name w:val="heading 3"/>
    <w:basedOn w:val="Paragraphedeliste"/>
    <w:next w:val="Normal"/>
    <w:link w:val="Titre3Car"/>
    <w:uiPriority w:val="9"/>
    <w:unhideWhenUsed/>
    <w:qFormat/>
    <w:rsid w:val="00B60465"/>
    <w:pPr>
      <w:numPr>
        <w:ilvl w:val="1"/>
        <w:numId w:val="2"/>
      </w:numPr>
      <w:spacing w:before="240" w:after="120" w:line="276" w:lineRule="auto"/>
      <w:contextualSpacing w:val="0"/>
      <w:outlineLvl w:val="2"/>
    </w:pPr>
    <w:rPr>
      <w:b/>
      <w:color w:val="AE6507"/>
      <w:sz w:val="24"/>
      <w:szCs w:val="24"/>
    </w:rPr>
  </w:style>
  <w:style w:type="paragraph" w:styleId="Titre4">
    <w:name w:val="heading 4"/>
    <w:basedOn w:val="Normal"/>
    <w:next w:val="Normal"/>
    <w:link w:val="Titre4Car"/>
    <w:uiPriority w:val="9"/>
    <w:semiHidden/>
    <w:unhideWhenUsed/>
    <w:qFormat/>
    <w:rsid w:val="001E18B5"/>
    <w:pPr>
      <w:keepNext/>
      <w:keepLines/>
      <w:spacing w:before="40"/>
      <w:outlineLvl w:val="3"/>
    </w:pPr>
    <w:rPr>
      <w:rFonts w:asciiTheme="majorHAnsi" w:eastAsiaTheme="majorEastAsia" w:hAnsiTheme="majorHAnsi" w:cstheme="majorBidi"/>
      <w:b/>
      <w:i/>
      <w:iCs/>
      <w:color w:val="94949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745"/>
    <w:rPr>
      <w:rFonts w:ascii="Calibri" w:eastAsia="Calibri" w:hAnsi="Calibri" w:cs="Times New Roman"/>
      <w:b/>
      <w:bCs/>
      <w:color w:val="002060"/>
      <w:sz w:val="36"/>
      <w:szCs w:val="36"/>
      <w:lang w:val="fr-FR"/>
    </w:rPr>
  </w:style>
  <w:style w:type="character" w:customStyle="1" w:styleId="Titre2Car">
    <w:name w:val="Titre 2 Car"/>
    <w:basedOn w:val="Policepardfaut"/>
    <w:link w:val="Titre2"/>
    <w:uiPriority w:val="9"/>
    <w:rsid w:val="00C44DC8"/>
    <w:rPr>
      <w:rFonts w:ascii="Calibri" w:eastAsia="Calibri" w:hAnsi="Calibri" w:cs="Times New Roman"/>
      <w:b/>
      <w:bCs/>
      <w:color w:val="00679A"/>
      <w:sz w:val="32"/>
      <w:szCs w:val="32"/>
      <w:lang w:val="fr-FR"/>
    </w:rPr>
  </w:style>
  <w:style w:type="character" w:customStyle="1" w:styleId="Titre3Car">
    <w:name w:val="Titre 3 Car"/>
    <w:basedOn w:val="Policepardfaut"/>
    <w:link w:val="Titre3"/>
    <w:uiPriority w:val="9"/>
    <w:rsid w:val="00B60465"/>
    <w:rPr>
      <w:rFonts w:ascii="Calibri" w:eastAsia="Calibri" w:hAnsi="Calibri" w:cs="Times New Roman"/>
      <w:b/>
      <w:color w:val="AE6507"/>
      <w:sz w:val="24"/>
      <w:szCs w:val="24"/>
    </w:rPr>
  </w:style>
  <w:style w:type="paragraph" w:styleId="Pieddepage">
    <w:name w:val="footer"/>
    <w:basedOn w:val="Normal"/>
    <w:link w:val="PieddepageCar"/>
    <w:uiPriority w:val="99"/>
    <w:unhideWhenUsed/>
    <w:rsid w:val="00155584"/>
    <w:pPr>
      <w:tabs>
        <w:tab w:val="center" w:pos="4536"/>
        <w:tab w:val="right" w:pos="9072"/>
      </w:tabs>
    </w:pPr>
  </w:style>
  <w:style w:type="character" w:customStyle="1" w:styleId="PieddepageCar">
    <w:name w:val="Pied de page Car"/>
    <w:basedOn w:val="Policepardfaut"/>
    <w:link w:val="Pieddepage"/>
    <w:uiPriority w:val="99"/>
    <w:rsid w:val="00155584"/>
    <w:rPr>
      <w:rFonts w:ascii="Times New Roman" w:eastAsia="Calibri" w:hAnsi="Times New Roman" w:cs="Times New Roman"/>
      <w:sz w:val="24"/>
    </w:rPr>
  </w:style>
  <w:style w:type="table" w:styleId="Grilledutableau">
    <w:name w:val="Table Grid"/>
    <w:basedOn w:val="TableauNormal"/>
    <w:uiPriority w:val="59"/>
    <w:rsid w:val="0015558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55584"/>
    <w:pPr>
      <w:tabs>
        <w:tab w:val="center" w:pos="4536"/>
        <w:tab w:val="right" w:pos="9072"/>
      </w:tabs>
      <w:spacing w:before="0"/>
    </w:pPr>
  </w:style>
  <w:style w:type="character" w:customStyle="1" w:styleId="En-tteCar">
    <w:name w:val="En-tête Car"/>
    <w:basedOn w:val="Policepardfaut"/>
    <w:link w:val="En-tte"/>
    <w:uiPriority w:val="99"/>
    <w:rsid w:val="00155584"/>
    <w:rPr>
      <w:rFonts w:ascii="Times New Roman" w:eastAsia="Calibri" w:hAnsi="Times New Roman" w:cs="Times New Roman"/>
      <w:sz w:val="24"/>
    </w:rPr>
  </w:style>
  <w:style w:type="character" w:styleId="Textedelespacerserv">
    <w:name w:val="Placeholder Text"/>
    <w:basedOn w:val="Policepardfaut"/>
    <w:uiPriority w:val="99"/>
    <w:semiHidden/>
    <w:rsid w:val="00155584"/>
    <w:rPr>
      <w:color w:val="808080"/>
    </w:rPr>
  </w:style>
  <w:style w:type="paragraph" w:styleId="Titre">
    <w:name w:val="Title"/>
    <w:aliases w:val="page de garde - projet d'avis"/>
    <w:basedOn w:val="Normal"/>
    <w:next w:val="Normal"/>
    <w:link w:val="TitreCar"/>
    <w:uiPriority w:val="10"/>
    <w:qFormat/>
    <w:rsid w:val="00155584"/>
    <w:pPr>
      <w:tabs>
        <w:tab w:val="left" w:pos="2655"/>
      </w:tabs>
      <w:spacing w:before="3000"/>
      <w:jc w:val="center"/>
    </w:pPr>
    <w:rPr>
      <w:rFonts w:eastAsia="Times New Roman"/>
      <w:b/>
      <w:noProof/>
      <w:color w:val="323E4F" w:themeColor="text2" w:themeShade="BF"/>
      <w:sz w:val="96"/>
      <w:szCs w:val="96"/>
      <w:lang w:eastAsia="nl-NL"/>
    </w:rPr>
  </w:style>
  <w:style w:type="character" w:customStyle="1" w:styleId="TitreCar">
    <w:name w:val="Titre Car"/>
    <w:aliases w:val="page de garde - projet d'avis Car"/>
    <w:basedOn w:val="Policepardfaut"/>
    <w:link w:val="Titre"/>
    <w:uiPriority w:val="10"/>
    <w:rsid w:val="00155584"/>
    <w:rPr>
      <w:rFonts w:ascii="Calibri" w:eastAsia="Times New Roman" w:hAnsi="Calibri" w:cs="Times New Roman"/>
      <w:b/>
      <w:noProof/>
      <w:color w:val="323E4F" w:themeColor="text2" w:themeShade="BF"/>
      <w:sz w:val="96"/>
      <w:szCs w:val="96"/>
      <w:lang w:eastAsia="nl-NL"/>
    </w:rPr>
  </w:style>
  <w:style w:type="paragraph" w:styleId="Sous-titre">
    <w:name w:val="Subtitle"/>
    <w:aliases w:val="page de garde - titre avant-projet"/>
    <w:basedOn w:val="Normal"/>
    <w:next w:val="Normal"/>
    <w:link w:val="Sous-titreCar"/>
    <w:uiPriority w:val="11"/>
    <w:qFormat/>
    <w:rsid w:val="00155584"/>
    <w:pPr>
      <w:spacing w:before="480"/>
      <w:jc w:val="center"/>
      <w:outlineLvl w:val="0"/>
    </w:pPr>
    <w:rPr>
      <w:b/>
      <w:color w:val="323E4F" w:themeColor="text2" w:themeShade="BF"/>
      <w:sz w:val="56"/>
      <w:szCs w:val="56"/>
    </w:rPr>
  </w:style>
  <w:style w:type="character" w:customStyle="1" w:styleId="Sous-titreCar">
    <w:name w:val="Sous-titre Car"/>
    <w:aliases w:val="page de garde - titre avant-projet Car"/>
    <w:basedOn w:val="Policepardfaut"/>
    <w:link w:val="Sous-titre"/>
    <w:uiPriority w:val="11"/>
    <w:rsid w:val="00155584"/>
    <w:rPr>
      <w:rFonts w:ascii="Calibri" w:eastAsia="Calibri" w:hAnsi="Calibri" w:cs="Times New Roman"/>
      <w:b/>
      <w:color w:val="323E4F" w:themeColor="text2" w:themeShade="BF"/>
      <w:sz w:val="56"/>
      <w:szCs w:val="56"/>
    </w:rPr>
  </w:style>
  <w:style w:type="paragraph" w:styleId="Sansinterligne">
    <w:name w:val="No Spacing"/>
    <w:aliases w:val="titre tableau saisine"/>
    <w:basedOn w:val="Normal"/>
    <w:uiPriority w:val="1"/>
    <w:qFormat/>
    <w:rsid w:val="00155584"/>
    <w:pPr>
      <w:spacing w:before="0" w:line="360" w:lineRule="auto"/>
      <w:outlineLvl w:val="0"/>
    </w:pPr>
    <w:rPr>
      <w:b/>
      <w:szCs w:val="24"/>
    </w:rPr>
  </w:style>
  <w:style w:type="paragraph" w:styleId="Paragraphedeliste">
    <w:name w:val="List Paragraph"/>
    <w:basedOn w:val="Normal"/>
    <w:uiPriority w:val="34"/>
    <w:qFormat/>
    <w:rsid w:val="00155584"/>
    <w:pPr>
      <w:ind w:left="720"/>
      <w:contextualSpacing/>
    </w:pPr>
  </w:style>
  <w:style w:type="character" w:styleId="Numrodeligne">
    <w:name w:val="line number"/>
    <w:basedOn w:val="Policepardfaut"/>
    <w:uiPriority w:val="99"/>
    <w:semiHidden/>
    <w:unhideWhenUsed/>
    <w:rsid w:val="00155584"/>
  </w:style>
  <w:style w:type="character" w:customStyle="1" w:styleId="Style3">
    <w:name w:val="Style3"/>
    <w:basedOn w:val="Policepardfaut"/>
    <w:uiPriority w:val="1"/>
    <w:rsid w:val="00F25818"/>
    <w:rPr>
      <w:rFonts w:asciiTheme="minorHAnsi" w:hAnsiTheme="minorHAnsi"/>
      <w:sz w:val="22"/>
    </w:rPr>
  </w:style>
  <w:style w:type="character" w:customStyle="1" w:styleId="Titre4Car">
    <w:name w:val="Titre 4 Car"/>
    <w:basedOn w:val="Policepardfaut"/>
    <w:link w:val="Titre4"/>
    <w:uiPriority w:val="9"/>
    <w:semiHidden/>
    <w:rsid w:val="001E18B5"/>
    <w:rPr>
      <w:rFonts w:asciiTheme="majorHAnsi" w:eastAsiaTheme="majorEastAsia" w:hAnsiTheme="majorHAnsi" w:cstheme="majorBidi"/>
      <w:b/>
      <w:i/>
      <w:iCs/>
      <w:color w:val="949499"/>
      <w:sz w:val="24"/>
    </w:rPr>
  </w:style>
  <w:style w:type="character" w:styleId="Marquedecommentaire">
    <w:name w:val="annotation reference"/>
    <w:basedOn w:val="Policepardfaut"/>
    <w:uiPriority w:val="99"/>
    <w:semiHidden/>
    <w:unhideWhenUsed/>
    <w:rsid w:val="00673ED0"/>
    <w:rPr>
      <w:sz w:val="16"/>
      <w:szCs w:val="16"/>
    </w:rPr>
  </w:style>
  <w:style w:type="paragraph" w:styleId="Commentaire">
    <w:name w:val="annotation text"/>
    <w:basedOn w:val="Normal"/>
    <w:link w:val="CommentaireCar"/>
    <w:uiPriority w:val="99"/>
    <w:unhideWhenUsed/>
    <w:rsid w:val="00673ED0"/>
    <w:rPr>
      <w:sz w:val="20"/>
      <w:szCs w:val="20"/>
    </w:rPr>
  </w:style>
  <w:style w:type="character" w:customStyle="1" w:styleId="CommentaireCar">
    <w:name w:val="Commentaire Car"/>
    <w:basedOn w:val="Policepardfaut"/>
    <w:link w:val="Commentaire"/>
    <w:uiPriority w:val="99"/>
    <w:rsid w:val="00673ED0"/>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673ED0"/>
    <w:rPr>
      <w:b/>
      <w:bCs/>
    </w:rPr>
  </w:style>
  <w:style w:type="character" w:customStyle="1" w:styleId="ObjetducommentaireCar">
    <w:name w:val="Objet du commentaire Car"/>
    <w:basedOn w:val="CommentaireCar"/>
    <w:link w:val="Objetducommentaire"/>
    <w:uiPriority w:val="99"/>
    <w:semiHidden/>
    <w:rsid w:val="00673ED0"/>
    <w:rPr>
      <w:rFonts w:ascii="Times New Roman" w:eastAsia="Calibri" w:hAnsi="Times New Roman" w:cs="Times New Roman"/>
      <w:b/>
      <w:bCs/>
      <w:sz w:val="20"/>
      <w:szCs w:val="20"/>
    </w:rPr>
  </w:style>
  <w:style w:type="paragraph" w:styleId="Textedebulles">
    <w:name w:val="Balloon Text"/>
    <w:basedOn w:val="Normal"/>
    <w:link w:val="TextedebullesCar"/>
    <w:uiPriority w:val="99"/>
    <w:semiHidden/>
    <w:unhideWhenUsed/>
    <w:rsid w:val="00673ED0"/>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3ED0"/>
    <w:rPr>
      <w:rFonts w:ascii="Segoe UI" w:eastAsia="Calibri" w:hAnsi="Segoe UI" w:cs="Segoe UI"/>
      <w:sz w:val="18"/>
      <w:szCs w:val="18"/>
    </w:rPr>
  </w:style>
  <w:style w:type="character" w:styleId="Lienhypertexte">
    <w:name w:val="Hyperlink"/>
    <w:basedOn w:val="Policepardfaut"/>
    <w:uiPriority w:val="99"/>
    <w:unhideWhenUsed/>
    <w:rsid w:val="008064EA"/>
    <w:rPr>
      <w:color w:val="0563C1" w:themeColor="hyperlink"/>
      <w:u w:val="single"/>
    </w:rPr>
  </w:style>
  <w:style w:type="character" w:styleId="Mentionnonrsolue">
    <w:name w:val="Unresolved Mention"/>
    <w:basedOn w:val="Policepardfaut"/>
    <w:uiPriority w:val="99"/>
    <w:semiHidden/>
    <w:unhideWhenUsed/>
    <w:rsid w:val="008064EA"/>
    <w:rPr>
      <w:color w:val="605E5C"/>
      <w:shd w:val="clear" w:color="auto" w:fill="E1DFDD"/>
    </w:rPr>
  </w:style>
  <w:style w:type="paragraph" w:styleId="Notedebasdepage">
    <w:name w:val="footnote text"/>
    <w:basedOn w:val="Normal"/>
    <w:link w:val="NotedebasdepageCar"/>
    <w:uiPriority w:val="99"/>
    <w:semiHidden/>
    <w:unhideWhenUsed/>
    <w:rsid w:val="00E21AB7"/>
    <w:pPr>
      <w:spacing w:before="0"/>
    </w:pPr>
    <w:rPr>
      <w:sz w:val="20"/>
      <w:szCs w:val="20"/>
    </w:rPr>
  </w:style>
  <w:style w:type="character" w:customStyle="1" w:styleId="NotedebasdepageCar">
    <w:name w:val="Note de bas de page Car"/>
    <w:basedOn w:val="Policepardfaut"/>
    <w:link w:val="Notedebasdepage"/>
    <w:uiPriority w:val="99"/>
    <w:semiHidden/>
    <w:rsid w:val="00E21AB7"/>
    <w:rPr>
      <w:rFonts w:ascii="Calibri" w:eastAsia="Calibri" w:hAnsi="Calibri" w:cs="Times New Roman"/>
      <w:sz w:val="20"/>
      <w:szCs w:val="20"/>
    </w:rPr>
  </w:style>
  <w:style w:type="character" w:styleId="Appelnotedebasdep">
    <w:name w:val="footnote reference"/>
    <w:basedOn w:val="Policepardfaut"/>
    <w:uiPriority w:val="99"/>
    <w:semiHidden/>
    <w:unhideWhenUsed/>
    <w:rsid w:val="00E21AB7"/>
    <w:rPr>
      <w:vertAlign w:val="superscript"/>
    </w:rPr>
  </w:style>
  <w:style w:type="paragraph" w:styleId="NormalWeb">
    <w:name w:val="Normal (Web)"/>
    <w:basedOn w:val="Normal"/>
    <w:uiPriority w:val="99"/>
    <w:unhideWhenUsed/>
    <w:rsid w:val="00702D0E"/>
    <w:pPr>
      <w:spacing w:before="100" w:beforeAutospacing="1" w:after="100" w:afterAutospacing="1"/>
      <w:jc w:val="left"/>
    </w:pPr>
    <w:rPr>
      <w:rFonts w:ascii="Times New Roman" w:eastAsia="Times New Roman" w:hAnsi="Times New Roman"/>
      <w:sz w:val="24"/>
      <w:szCs w:val="24"/>
      <w:lang w:eastAsia="fr-BE"/>
    </w:rPr>
  </w:style>
  <w:style w:type="character" w:styleId="lev">
    <w:name w:val="Strong"/>
    <w:basedOn w:val="Policepardfaut"/>
    <w:uiPriority w:val="22"/>
    <w:qFormat/>
    <w:rsid w:val="00702D0E"/>
    <w:rPr>
      <w:b/>
      <w:bCs/>
    </w:rPr>
  </w:style>
  <w:style w:type="paragraph" w:styleId="Rvision">
    <w:name w:val="Revision"/>
    <w:hidden/>
    <w:uiPriority w:val="99"/>
    <w:semiHidden/>
    <w:rsid w:val="00E472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0610">
      <w:bodyDiv w:val="1"/>
      <w:marLeft w:val="0"/>
      <w:marRight w:val="0"/>
      <w:marTop w:val="0"/>
      <w:marBottom w:val="0"/>
      <w:divBdr>
        <w:top w:val="none" w:sz="0" w:space="0" w:color="auto"/>
        <w:left w:val="none" w:sz="0" w:space="0" w:color="auto"/>
        <w:bottom w:val="none" w:sz="0" w:space="0" w:color="auto"/>
        <w:right w:val="none" w:sz="0" w:space="0" w:color="auto"/>
      </w:divBdr>
    </w:div>
    <w:div w:id="525678338">
      <w:bodyDiv w:val="1"/>
      <w:marLeft w:val="0"/>
      <w:marRight w:val="0"/>
      <w:marTop w:val="0"/>
      <w:marBottom w:val="0"/>
      <w:divBdr>
        <w:top w:val="none" w:sz="0" w:space="0" w:color="auto"/>
        <w:left w:val="none" w:sz="0" w:space="0" w:color="auto"/>
        <w:bottom w:val="none" w:sz="0" w:space="0" w:color="auto"/>
        <w:right w:val="none" w:sz="0" w:space="0" w:color="auto"/>
      </w:divBdr>
    </w:div>
    <w:div w:id="672072160">
      <w:bodyDiv w:val="1"/>
      <w:marLeft w:val="0"/>
      <w:marRight w:val="0"/>
      <w:marTop w:val="0"/>
      <w:marBottom w:val="0"/>
      <w:divBdr>
        <w:top w:val="none" w:sz="0" w:space="0" w:color="auto"/>
        <w:left w:val="none" w:sz="0" w:space="0" w:color="auto"/>
        <w:bottom w:val="none" w:sz="0" w:space="0" w:color="auto"/>
        <w:right w:val="none" w:sz="0" w:space="0" w:color="auto"/>
      </w:divBdr>
    </w:div>
    <w:div w:id="1111166071">
      <w:bodyDiv w:val="1"/>
      <w:marLeft w:val="0"/>
      <w:marRight w:val="0"/>
      <w:marTop w:val="0"/>
      <w:marBottom w:val="0"/>
      <w:divBdr>
        <w:top w:val="none" w:sz="0" w:space="0" w:color="auto"/>
        <w:left w:val="none" w:sz="0" w:space="0" w:color="auto"/>
        <w:bottom w:val="none" w:sz="0" w:space="0" w:color="auto"/>
        <w:right w:val="none" w:sz="0" w:space="0" w:color="auto"/>
      </w:divBdr>
    </w:div>
    <w:div w:id="1327052894">
      <w:bodyDiv w:val="1"/>
      <w:marLeft w:val="0"/>
      <w:marRight w:val="0"/>
      <w:marTop w:val="0"/>
      <w:marBottom w:val="0"/>
      <w:divBdr>
        <w:top w:val="none" w:sz="0" w:space="0" w:color="auto"/>
        <w:left w:val="none" w:sz="0" w:space="0" w:color="auto"/>
        <w:bottom w:val="none" w:sz="0" w:space="0" w:color="auto"/>
        <w:right w:val="none" w:sz="0" w:space="0" w:color="auto"/>
      </w:divBdr>
    </w:div>
    <w:div w:id="1736198244">
      <w:bodyDiv w:val="1"/>
      <w:marLeft w:val="0"/>
      <w:marRight w:val="0"/>
      <w:marTop w:val="0"/>
      <w:marBottom w:val="0"/>
      <w:divBdr>
        <w:top w:val="none" w:sz="0" w:space="0" w:color="auto"/>
        <w:left w:val="none" w:sz="0" w:space="0" w:color="auto"/>
        <w:bottom w:val="none" w:sz="0" w:space="0" w:color="auto"/>
        <w:right w:val="none" w:sz="0" w:space="0" w:color="auto"/>
      </w:divBdr>
    </w:div>
    <w:div w:id="1858343737">
      <w:bodyDiv w:val="1"/>
      <w:marLeft w:val="0"/>
      <w:marRight w:val="0"/>
      <w:marTop w:val="0"/>
      <w:marBottom w:val="0"/>
      <w:divBdr>
        <w:top w:val="none" w:sz="0" w:space="0" w:color="auto"/>
        <w:left w:val="none" w:sz="0" w:space="0" w:color="auto"/>
        <w:bottom w:val="none" w:sz="0" w:space="0" w:color="auto"/>
        <w:right w:val="none" w:sz="0" w:space="0" w:color="auto"/>
      </w:divBdr>
    </w:div>
    <w:div w:id="2015843339">
      <w:bodyDiv w:val="1"/>
      <w:marLeft w:val="0"/>
      <w:marRight w:val="0"/>
      <w:marTop w:val="0"/>
      <w:marBottom w:val="0"/>
      <w:divBdr>
        <w:top w:val="none" w:sz="0" w:space="0" w:color="auto"/>
        <w:left w:val="none" w:sz="0" w:space="0" w:color="auto"/>
        <w:bottom w:val="none" w:sz="0" w:space="0" w:color="auto"/>
        <w:right w:val="none" w:sz="0" w:space="0" w:color="auto"/>
      </w:divBdr>
    </w:div>
    <w:div w:id="20791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utaher\OneDrive%20-%20Brupartners\00%20MODELES%20&amp;%20PROCEDURES%20-%20Documents\00%20MODELES\06%20CPH\04%20AVIS\CPH-MODELE-AVIS%20INITIATIVE-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717311661040CBA7CE333FABF0172C"/>
        <w:category>
          <w:name w:val="Général"/>
          <w:gallery w:val="placeholder"/>
        </w:category>
        <w:types>
          <w:type w:val="bbPlcHdr"/>
        </w:types>
        <w:behaviors>
          <w:behavior w:val="content"/>
        </w:behaviors>
        <w:guid w:val="{78E29F72-A2B5-4E1B-9D0D-A0E6B48EEDD1}"/>
      </w:docPartPr>
      <w:docPartBody>
        <w:p w:rsidR="00B45D30" w:rsidRDefault="00B45D30">
          <w:pPr>
            <w:pStyle w:val="71717311661040CBA7CE333FABF0172C"/>
          </w:pPr>
          <w:r w:rsidRPr="00A27E9A">
            <w:rPr>
              <w:rStyle w:val="Textedelespacerserv"/>
            </w:rPr>
            <w:t>Choisissez un élément.</w:t>
          </w:r>
        </w:p>
      </w:docPartBody>
    </w:docPart>
    <w:docPart>
      <w:docPartPr>
        <w:name w:val="3EE2AB82509E4590AE0223484504FA9D"/>
        <w:category>
          <w:name w:val="Général"/>
          <w:gallery w:val="placeholder"/>
        </w:category>
        <w:types>
          <w:type w:val="bbPlcHdr"/>
        </w:types>
        <w:behaviors>
          <w:behavior w:val="content"/>
        </w:behaviors>
        <w:guid w:val="{74EAFCB7-7168-4F2A-AC30-EBFE2BC7C8F6}"/>
      </w:docPartPr>
      <w:docPartBody>
        <w:p w:rsidR="00B45D30" w:rsidRDefault="00B45D30">
          <w:pPr>
            <w:pStyle w:val="3EE2AB82509E4590AE0223484504FA9D"/>
          </w:pPr>
          <w:r w:rsidRPr="00A27E9A">
            <w:rPr>
              <w:rStyle w:val="Textedelespacerserv"/>
            </w:rPr>
            <w:t>Choisissez un élément.</w:t>
          </w:r>
        </w:p>
      </w:docPartBody>
    </w:docPart>
    <w:docPart>
      <w:docPartPr>
        <w:name w:val="827B3DA33A0740B7BA8499588974F748"/>
        <w:category>
          <w:name w:val="Général"/>
          <w:gallery w:val="placeholder"/>
        </w:category>
        <w:types>
          <w:type w:val="bbPlcHdr"/>
        </w:types>
        <w:behaviors>
          <w:behavior w:val="content"/>
        </w:behaviors>
        <w:guid w:val="{AAC1175A-BB32-44C8-82EF-A941C289C71E}"/>
      </w:docPartPr>
      <w:docPartBody>
        <w:p w:rsidR="00B45D30" w:rsidRDefault="00B45D30">
          <w:pPr>
            <w:pStyle w:val="827B3DA33A0740B7BA8499588974F748"/>
          </w:pPr>
          <w:r w:rsidRPr="00A27E9A">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30"/>
    <w:rsid w:val="000D5AC3"/>
    <w:rsid w:val="001E5166"/>
    <w:rsid w:val="00362D58"/>
    <w:rsid w:val="00386095"/>
    <w:rsid w:val="003F7D72"/>
    <w:rsid w:val="004076E9"/>
    <w:rsid w:val="009D0A36"/>
    <w:rsid w:val="00B45D30"/>
    <w:rsid w:val="00C45546"/>
    <w:rsid w:val="00C50A28"/>
    <w:rsid w:val="00F35B85"/>
    <w:rsid w:val="00F91766"/>
    <w:rsid w:val="00F964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71717311661040CBA7CE333FABF0172C">
    <w:name w:val="71717311661040CBA7CE333FABF0172C"/>
  </w:style>
  <w:style w:type="paragraph" w:customStyle="1" w:styleId="3EE2AB82509E4590AE0223484504FA9D">
    <w:name w:val="3EE2AB82509E4590AE0223484504FA9D"/>
  </w:style>
  <w:style w:type="paragraph" w:customStyle="1" w:styleId="827B3DA33A0740B7BA8499588974F748">
    <w:name w:val="827B3DA33A0740B7BA8499588974F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36bd33-9de6-474d-8cc2-8866bae40f6b">
      <Terms xmlns="http://schemas.microsoft.com/office/infopath/2007/PartnerControls"/>
    </lcf76f155ced4ddcb4097134ff3c332f>
    <TaxCatchAll xmlns="3cdece0a-6a9d-460d-873a-e18281a89f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8874E3E951A0468711A2D362542C72" ma:contentTypeVersion="13" ma:contentTypeDescription="Crée un document." ma:contentTypeScope="" ma:versionID="c74f70276077a89a9b624db2677b6518">
  <xsd:schema xmlns:xsd="http://www.w3.org/2001/XMLSchema" xmlns:xs="http://www.w3.org/2001/XMLSchema" xmlns:p="http://schemas.microsoft.com/office/2006/metadata/properties" xmlns:ns2="e136bd33-9de6-474d-8cc2-8866bae40f6b" xmlns:ns3="3cdece0a-6a9d-460d-873a-e18281a89fc0" targetNamespace="http://schemas.microsoft.com/office/2006/metadata/properties" ma:root="true" ma:fieldsID="3f66581e854853567ca5b3f38a8cde36" ns2:_="" ns3:_="">
    <xsd:import namespace="e136bd33-9de6-474d-8cc2-8866bae40f6b"/>
    <xsd:import namespace="3cdece0a-6a9d-460d-873a-e18281a89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6bd33-9de6-474d-8cc2-8866bae40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3287c0d-47a8-45cc-9737-f56b388507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0a-6a9d-460d-873a-e18281a89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1e9e9-7f1b-462c-93b5-4caacb096818}" ma:internalName="TaxCatchAll" ma:showField="CatchAllData" ma:web="3cdece0a-6a9d-460d-873a-e18281a89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E5C97-8EB9-4356-814F-4BF93AB613B4}">
  <ds:schemaRefs>
    <ds:schemaRef ds:uri="http://schemas.microsoft.com/office/2006/metadata/properties"/>
    <ds:schemaRef ds:uri="http://schemas.microsoft.com/office/infopath/2007/PartnerControls"/>
    <ds:schemaRef ds:uri="e136bd33-9de6-474d-8cc2-8866bae40f6b"/>
    <ds:schemaRef ds:uri="3cdece0a-6a9d-460d-873a-e18281a89fc0"/>
  </ds:schemaRefs>
</ds:datastoreItem>
</file>

<file path=customXml/itemProps2.xml><?xml version="1.0" encoding="utf-8"?>
<ds:datastoreItem xmlns:ds="http://schemas.openxmlformats.org/officeDocument/2006/customXml" ds:itemID="{39FE66B1-ABB4-4322-BAA4-AB6F6B58DA52}">
  <ds:schemaRefs>
    <ds:schemaRef ds:uri="http://schemas.openxmlformats.org/officeDocument/2006/bibliography"/>
  </ds:schemaRefs>
</ds:datastoreItem>
</file>

<file path=customXml/itemProps3.xml><?xml version="1.0" encoding="utf-8"?>
<ds:datastoreItem xmlns:ds="http://schemas.openxmlformats.org/officeDocument/2006/customXml" ds:itemID="{A43A8DFE-38B4-4132-BF09-C4039C60E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6bd33-9de6-474d-8cc2-8866bae40f6b"/>
    <ds:schemaRef ds:uri="3cdece0a-6a9d-460d-873a-e18281a8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0E7D3-E9CD-477F-8F59-9BFC6ADCC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CPH-MODELE-AVIS INITIATIVE-FR</Template>
  <TotalTime>0</TotalTime>
  <Pages>5</Pages>
  <Words>1801</Words>
  <Characters>9908</Characters>
  <Application>Microsoft Office Word</Application>
  <DocSecurity>0</DocSecurity>
  <Lines>82</Lines>
  <Paragraphs>23</Paragraphs>
  <ScaleCrop>false</ScaleCrop>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BOUTAHER Gil</dc:creator>
  <cp:keywords/>
  <dc:description/>
  <cp:lastModifiedBy>BOUTAHER Gil</cp:lastModifiedBy>
  <cp:revision>3</cp:revision>
  <dcterms:created xsi:type="dcterms:W3CDTF">2025-06-11T13:25:00Z</dcterms:created>
  <dcterms:modified xsi:type="dcterms:W3CDTF">2025-06-13T12:34:00Z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0x0101004C8874E3E951A0468711A2D362542C72</vt:lpwstr>
  </property>
  <property fmtid="{D5CDD505-2E9C-101B-9397-08002B2CF9AE}" pid="3" name="Order">
    <vt:r8>70000</vt:r8>
  </property>
  <property fmtid="{D5CDD505-2E9C-101B-9397-08002B2CF9AE}" pid="4" name="MediaServiceImageTags">
    <vt:lpwstr/>
  </property>
</Properties>
</file>