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FD33" w14:textId="77777777" w:rsidR="00FA0A47" w:rsidRPr="00B77BB5" w:rsidRDefault="00D011EF" w:rsidP="001319AD">
      <w:pPr>
        <w:pStyle w:val="Heading1"/>
        <w:jc w:val="both"/>
      </w:pPr>
      <w:r w:rsidRPr="00B77BB5">
        <w:t>Overzicht van de deelnemers</w:t>
      </w:r>
    </w:p>
    <w:tbl>
      <w:tblPr>
        <w:tblStyle w:val="TableGrid"/>
        <w:tblW w:w="0" w:type="auto"/>
        <w:tblLook w:val="04A0" w:firstRow="1" w:lastRow="0" w:firstColumn="1" w:lastColumn="0" w:noHBand="0" w:noVBand="1"/>
      </w:tblPr>
      <w:tblGrid>
        <w:gridCol w:w="1218"/>
        <w:gridCol w:w="6690"/>
      </w:tblGrid>
      <w:tr w:rsidR="002F04B5" w:rsidRPr="00B77BB5" w14:paraId="2533DD50" w14:textId="77777777" w:rsidTr="00AC64E2">
        <w:tc>
          <w:tcPr>
            <w:tcW w:w="1218" w:type="dxa"/>
          </w:tcPr>
          <w:p w14:paraId="72323C39" w14:textId="77777777" w:rsidR="002F04B5" w:rsidRPr="00B77BB5" w:rsidRDefault="002F04B5" w:rsidP="001319AD">
            <w:pPr>
              <w:pStyle w:val="Heading4"/>
              <w:jc w:val="both"/>
            </w:pPr>
            <w:r w:rsidRPr="00B77BB5">
              <w:t>Aanwezig</w:t>
            </w:r>
          </w:p>
        </w:tc>
        <w:tc>
          <w:tcPr>
            <w:tcW w:w="6690" w:type="dxa"/>
          </w:tcPr>
          <w:p w14:paraId="0C3D42AF" w14:textId="77777777" w:rsidR="002F04B5" w:rsidRPr="00B77BB5" w:rsidRDefault="002F04B5" w:rsidP="001319AD">
            <w:pPr>
              <w:pStyle w:val="Heading4"/>
              <w:jc w:val="both"/>
            </w:pPr>
            <w:r w:rsidRPr="00B77BB5">
              <w:t>Naam</w:t>
            </w:r>
          </w:p>
        </w:tc>
      </w:tr>
      <w:tr w:rsidR="002F04B5" w:rsidRPr="00B77BB5" w14:paraId="7BA92C7E" w14:textId="77777777" w:rsidTr="00AC64E2">
        <w:tc>
          <w:tcPr>
            <w:tcW w:w="1218" w:type="dxa"/>
          </w:tcPr>
          <w:p w14:paraId="51BE0035" w14:textId="77777777" w:rsidR="002F04B5" w:rsidRPr="00B77BB5" w:rsidRDefault="002F04B5" w:rsidP="001319AD">
            <w:pPr>
              <w:spacing w:after="200" w:line="276" w:lineRule="auto"/>
              <w:jc w:val="both"/>
            </w:pPr>
          </w:p>
        </w:tc>
        <w:tc>
          <w:tcPr>
            <w:tcW w:w="6690" w:type="dxa"/>
          </w:tcPr>
          <w:p w14:paraId="011AC94C" w14:textId="77777777" w:rsidR="002F04B5" w:rsidRPr="00B77BB5" w:rsidRDefault="002F04B5" w:rsidP="001319AD">
            <w:pPr>
              <w:jc w:val="both"/>
            </w:pPr>
            <w:r w:rsidRPr="00B77BB5">
              <w:t>Noémie Wouters – POD MI</w:t>
            </w:r>
          </w:p>
        </w:tc>
      </w:tr>
      <w:tr w:rsidR="002F04B5" w:rsidRPr="00B77BB5" w14:paraId="60942063" w14:textId="77777777" w:rsidTr="00AC64E2">
        <w:tc>
          <w:tcPr>
            <w:tcW w:w="1218" w:type="dxa"/>
          </w:tcPr>
          <w:p w14:paraId="241CCD58" w14:textId="77777777" w:rsidR="002F04B5" w:rsidRPr="00B77BB5" w:rsidRDefault="002F04B5" w:rsidP="001319AD">
            <w:pPr>
              <w:spacing w:after="200" w:line="276" w:lineRule="auto"/>
              <w:jc w:val="both"/>
            </w:pPr>
          </w:p>
        </w:tc>
        <w:tc>
          <w:tcPr>
            <w:tcW w:w="6690" w:type="dxa"/>
          </w:tcPr>
          <w:p w14:paraId="7FFE79D0" w14:textId="77777777" w:rsidR="002F04B5" w:rsidRPr="00B77BB5" w:rsidRDefault="002F04B5" w:rsidP="001319AD">
            <w:pPr>
              <w:jc w:val="both"/>
            </w:pPr>
            <w:r w:rsidRPr="00B77BB5">
              <w:t>Alyssandre Deforest – POD MI</w:t>
            </w:r>
          </w:p>
        </w:tc>
      </w:tr>
      <w:tr w:rsidR="002F04B5" w:rsidRPr="00B77BB5" w14:paraId="70464231" w14:textId="77777777" w:rsidTr="00AC64E2">
        <w:tc>
          <w:tcPr>
            <w:tcW w:w="1218" w:type="dxa"/>
          </w:tcPr>
          <w:p w14:paraId="2DAB71AC" w14:textId="77777777" w:rsidR="002F04B5" w:rsidRPr="00B77BB5" w:rsidRDefault="002F04B5" w:rsidP="001319AD">
            <w:pPr>
              <w:spacing w:after="200" w:line="276" w:lineRule="auto"/>
              <w:jc w:val="both"/>
            </w:pPr>
          </w:p>
        </w:tc>
        <w:tc>
          <w:tcPr>
            <w:tcW w:w="6690" w:type="dxa"/>
          </w:tcPr>
          <w:p w14:paraId="2534A90E" w14:textId="77777777" w:rsidR="002F04B5" w:rsidRPr="00B77BB5" w:rsidRDefault="002F04B5" w:rsidP="001319AD">
            <w:pPr>
              <w:jc w:val="both"/>
            </w:pPr>
            <w:r w:rsidRPr="00B77BB5">
              <w:t>Anita Opfergelt – POD MI</w:t>
            </w:r>
          </w:p>
        </w:tc>
      </w:tr>
      <w:tr w:rsidR="002F04B5" w:rsidRPr="00B77BB5" w14:paraId="5422406D" w14:textId="77777777" w:rsidTr="00AC64E2">
        <w:tc>
          <w:tcPr>
            <w:tcW w:w="1218" w:type="dxa"/>
          </w:tcPr>
          <w:p w14:paraId="52665646" w14:textId="77777777" w:rsidR="002F04B5" w:rsidRPr="00B77BB5" w:rsidRDefault="002F04B5" w:rsidP="001319AD">
            <w:pPr>
              <w:spacing w:after="200" w:line="276" w:lineRule="auto"/>
              <w:jc w:val="both"/>
            </w:pPr>
          </w:p>
        </w:tc>
        <w:tc>
          <w:tcPr>
            <w:tcW w:w="6690" w:type="dxa"/>
          </w:tcPr>
          <w:p w14:paraId="3B089AAA" w14:textId="77777777" w:rsidR="002F04B5" w:rsidRPr="00B77BB5" w:rsidRDefault="002F04B5" w:rsidP="001319AD">
            <w:pPr>
              <w:jc w:val="both"/>
            </w:pPr>
            <w:r w:rsidRPr="00B77BB5">
              <w:t>Fanny Lason – POD MI</w:t>
            </w:r>
          </w:p>
        </w:tc>
      </w:tr>
      <w:tr w:rsidR="002F04B5" w:rsidRPr="00B77BB5" w14:paraId="66C18198" w14:textId="77777777" w:rsidTr="00AC64E2">
        <w:tc>
          <w:tcPr>
            <w:tcW w:w="1218" w:type="dxa"/>
          </w:tcPr>
          <w:p w14:paraId="410E792D" w14:textId="77777777" w:rsidR="002F04B5" w:rsidRPr="00B77BB5" w:rsidRDefault="002F04B5" w:rsidP="001319AD">
            <w:pPr>
              <w:spacing w:after="200" w:line="276" w:lineRule="auto"/>
              <w:jc w:val="both"/>
            </w:pPr>
          </w:p>
        </w:tc>
        <w:tc>
          <w:tcPr>
            <w:tcW w:w="6690" w:type="dxa"/>
          </w:tcPr>
          <w:p w14:paraId="634B9C8C" w14:textId="77777777" w:rsidR="002F04B5" w:rsidRPr="00B77BB5" w:rsidRDefault="002F04B5" w:rsidP="001319AD">
            <w:pPr>
              <w:jc w:val="both"/>
            </w:pPr>
            <w:r w:rsidRPr="00B77BB5">
              <w:t>Caroline Van Der Hoeven – BAPN</w:t>
            </w:r>
          </w:p>
        </w:tc>
      </w:tr>
      <w:tr w:rsidR="002F04B5" w:rsidRPr="00B77BB5" w14:paraId="239D5988" w14:textId="77777777" w:rsidTr="00AC64E2">
        <w:tc>
          <w:tcPr>
            <w:tcW w:w="1218" w:type="dxa"/>
          </w:tcPr>
          <w:p w14:paraId="2895A326" w14:textId="77777777" w:rsidR="002F04B5" w:rsidRPr="00B77BB5" w:rsidRDefault="002F04B5" w:rsidP="001319AD">
            <w:pPr>
              <w:spacing w:after="200" w:line="276" w:lineRule="auto"/>
              <w:jc w:val="both"/>
            </w:pPr>
          </w:p>
        </w:tc>
        <w:tc>
          <w:tcPr>
            <w:tcW w:w="6690" w:type="dxa"/>
          </w:tcPr>
          <w:p w14:paraId="0FA0B71C" w14:textId="77777777" w:rsidR="002F04B5" w:rsidRPr="00B77BB5" w:rsidRDefault="002F04B5" w:rsidP="001319AD">
            <w:pPr>
              <w:jc w:val="both"/>
            </w:pPr>
            <w:r w:rsidRPr="00B77BB5">
              <w:t>Saskia Jacobs - BAPN</w:t>
            </w:r>
          </w:p>
        </w:tc>
      </w:tr>
      <w:tr w:rsidR="002F04B5" w:rsidRPr="00B77BB5" w14:paraId="33420B95" w14:textId="77777777" w:rsidTr="00AC64E2">
        <w:tc>
          <w:tcPr>
            <w:tcW w:w="1218" w:type="dxa"/>
          </w:tcPr>
          <w:p w14:paraId="66807E43" w14:textId="77777777" w:rsidR="002F04B5" w:rsidRPr="00B77BB5" w:rsidRDefault="002F04B5" w:rsidP="001319AD">
            <w:pPr>
              <w:spacing w:after="200" w:line="276" w:lineRule="auto"/>
              <w:jc w:val="both"/>
            </w:pPr>
          </w:p>
        </w:tc>
        <w:tc>
          <w:tcPr>
            <w:tcW w:w="6690" w:type="dxa"/>
          </w:tcPr>
          <w:p w14:paraId="6A78B198" w14:textId="77777777" w:rsidR="002F04B5" w:rsidRPr="00B77BB5" w:rsidRDefault="002F04B5" w:rsidP="001319AD">
            <w:pPr>
              <w:jc w:val="both"/>
            </w:pPr>
            <w:r w:rsidRPr="00B77BB5">
              <w:t>Christine Mahy - RWLP</w:t>
            </w:r>
          </w:p>
        </w:tc>
      </w:tr>
      <w:tr w:rsidR="002F04B5" w:rsidRPr="00B77BB5" w14:paraId="564309C8" w14:textId="77777777" w:rsidTr="00AC64E2">
        <w:tc>
          <w:tcPr>
            <w:tcW w:w="1218" w:type="dxa"/>
          </w:tcPr>
          <w:p w14:paraId="07C3142C" w14:textId="77777777" w:rsidR="002F04B5" w:rsidRPr="00B77BB5" w:rsidRDefault="002F04B5" w:rsidP="001319AD">
            <w:pPr>
              <w:spacing w:after="200" w:line="276" w:lineRule="auto"/>
              <w:jc w:val="both"/>
            </w:pPr>
          </w:p>
        </w:tc>
        <w:tc>
          <w:tcPr>
            <w:tcW w:w="6690" w:type="dxa"/>
          </w:tcPr>
          <w:p w14:paraId="61E98292" w14:textId="77777777" w:rsidR="002F04B5" w:rsidRPr="00B77BB5" w:rsidRDefault="002F04B5" w:rsidP="001319AD">
            <w:pPr>
              <w:jc w:val="both"/>
            </w:pPr>
            <w:r w:rsidRPr="00B77BB5">
              <w:t>Marieka Vandewiele – Steunpunt</w:t>
            </w:r>
          </w:p>
        </w:tc>
      </w:tr>
      <w:tr w:rsidR="002F04B5" w:rsidRPr="00B77BB5" w14:paraId="4E6A3491" w14:textId="77777777" w:rsidTr="00AC64E2">
        <w:tc>
          <w:tcPr>
            <w:tcW w:w="1218" w:type="dxa"/>
          </w:tcPr>
          <w:p w14:paraId="64DB2954" w14:textId="77777777" w:rsidR="002F04B5" w:rsidRPr="00B77BB5" w:rsidRDefault="002F04B5" w:rsidP="001319AD">
            <w:pPr>
              <w:spacing w:after="200" w:line="276" w:lineRule="auto"/>
              <w:jc w:val="both"/>
            </w:pPr>
          </w:p>
        </w:tc>
        <w:tc>
          <w:tcPr>
            <w:tcW w:w="6690" w:type="dxa"/>
          </w:tcPr>
          <w:p w14:paraId="46CD5607" w14:textId="77777777" w:rsidR="002F04B5" w:rsidRPr="00B77BB5" w:rsidRDefault="002F04B5" w:rsidP="001319AD">
            <w:pPr>
              <w:jc w:val="both"/>
            </w:pPr>
            <w:r w:rsidRPr="00B77BB5">
              <w:t>Luc Maertens – Reset.Vlaanderen</w:t>
            </w:r>
          </w:p>
        </w:tc>
      </w:tr>
      <w:tr w:rsidR="002F04B5" w:rsidRPr="00B77BB5" w14:paraId="27D62D50" w14:textId="77777777" w:rsidTr="00AC64E2">
        <w:tc>
          <w:tcPr>
            <w:tcW w:w="1218" w:type="dxa"/>
          </w:tcPr>
          <w:p w14:paraId="5B6F7956" w14:textId="77777777" w:rsidR="002F04B5" w:rsidRPr="00B77BB5" w:rsidRDefault="002F04B5" w:rsidP="001319AD">
            <w:pPr>
              <w:spacing w:after="200" w:line="276" w:lineRule="auto"/>
              <w:jc w:val="both"/>
            </w:pPr>
          </w:p>
        </w:tc>
        <w:tc>
          <w:tcPr>
            <w:tcW w:w="6690" w:type="dxa"/>
          </w:tcPr>
          <w:p w14:paraId="5E8ED033" w14:textId="77777777" w:rsidR="002F04B5" w:rsidRPr="00B77BB5" w:rsidRDefault="002F04B5" w:rsidP="001319AD">
            <w:pPr>
              <w:jc w:val="both"/>
            </w:pPr>
            <w:r w:rsidRPr="00B77BB5">
              <w:t xml:space="preserve">Emilie De Smet – Nationale Hoge Raad voor personen met een handicap (altea vzw) </w:t>
            </w:r>
          </w:p>
        </w:tc>
      </w:tr>
      <w:tr w:rsidR="002F04B5" w:rsidRPr="00B77BB5" w14:paraId="6A2C572D" w14:textId="77777777" w:rsidTr="00AC64E2">
        <w:tc>
          <w:tcPr>
            <w:tcW w:w="1218" w:type="dxa"/>
          </w:tcPr>
          <w:p w14:paraId="5E952868" w14:textId="77777777" w:rsidR="002F04B5" w:rsidRPr="00B77BB5" w:rsidRDefault="002F04B5" w:rsidP="001319AD">
            <w:pPr>
              <w:spacing w:after="200" w:line="276" w:lineRule="auto"/>
              <w:jc w:val="both"/>
            </w:pPr>
          </w:p>
        </w:tc>
        <w:tc>
          <w:tcPr>
            <w:tcW w:w="6690" w:type="dxa"/>
          </w:tcPr>
          <w:p w14:paraId="1B3C0F86" w14:textId="77777777" w:rsidR="002F04B5" w:rsidRPr="00B77BB5" w:rsidRDefault="002F04B5" w:rsidP="001319AD">
            <w:pPr>
              <w:jc w:val="both"/>
            </w:pPr>
            <w:r w:rsidRPr="00B77BB5">
              <w:t>Muriel Dossin - minsoc</w:t>
            </w:r>
          </w:p>
        </w:tc>
      </w:tr>
      <w:tr w:rsidR="002F04B5" w:rsidRPr="00B77BB5" w14:paraId="6AB6CF37" w14:textId="77777777" w:rsidTr="00AC64E2">
        <w:tc>
          <w:tcPr>
            <w:tcW w:w="1218" w:type="dxa"/>
          </w:tcPr>
          <w:p w14:paraId="42194ED6" w14:textId="77777777" w:rsidR="002F04B5" w:rsidRPr="00B77BB5" w:rsidRDefault="002F04B5" w:rsidP="001319AD">
            <w:pPr>
              <w:spacing w:after="200" w:line="276" w:lineRule="auto"/>
              <w:jc w:val="both"/>
            </w:pPr>
          </w:p>
        </w:tc>
        <w:tc>
          <w:tcPr>
            <w:tcW w:w="6690" w:type="dxa"/>
          </w:tcPr>
          <w:p w14:paraId="5FF23A63" w14:textId="77777777" w:rsidR="002F04B5" w:rsidRPr="00B77BB5" w:rsidRDefault="002F04B5" w:rsidP="001319AD">
            <w:pPr>
              <w:jc w:val="both"/>
            </w:pPr>
            <w:r w:rsidRPr="00B77BB5">
              <w:t>Koen Geirnaert – OCMW Gent</w:t>
            </w:r>
          </w:p>
        </w:tc>
      </w:tr>
      <w:tr w:rsidR="002F04B5" w:rsidRPr="00B77BB5" w14:paraId="664E08EB" w14:textId="77777777" w:rsidTr="00AC64E2">
        <w:tc>
          <w:tcPr>
            <w:tcW w:w="1218" w:type="dxa"/>
          </w:tcPr>
          <w:p w14:paraId="0238565D" w14:textId="77777777" w:rsidR="002F04B5" w:rsidRPr="00B77BB5" w:rsidRDefault="002F04B5" w:rsidP="001319AD">
            <w:pPr>
              <w:spacing w:after="200" w:line="276" w:lineRule="auto"/>
              <w:jc w:val="both"/>
            </w:pPr>
          </w:p>
        </w:tc>
        <w:tc>
          <w:tcPr>
            <w:tcW w:w="6690" w:type="dxa"/>
          </w:tcPr>
          <w:p w14:paraId="4655D80B" w14:textId="77777777" w:rsidR="002F04B5" w:rsidRPr="00B77BB5" w:rsidRDefault="002F04B5" w:rsidP="001319AD">
            <w:pPr>
              <w:jc w:val="both"/>
            </w:pPr>
            <w:r w:rsidRPr="00B77BB5">
              <w:t>Nele Schroyen - VVSG</w:t>
            </w:r>
          </w:p>
        </w:tc>
      </w:tr>
      <w:tr w:rsidR="002F04B5" w:rsidRPr="00B77BB5" w14:paraId="3B1CAD72" w14:textId="77777777" w:rsidTr="00AC64E2">
        <w:tc>
          <w:tcPr>
            <w:tcW w:w="1218" w:type="dxa"/>
          </w:tcPr>
          <w:p w14:paraId="5AB917EE" w14:textId="77777777" w:rsidR="002F04B5" w:rsidRPr="00B77BB5" w:rsidRDefault="002F04B5" w:rsidP="001319AD">
            <w:pPr>
              <w:spacing w:after="200" w:line="276" w:lineRule="auto"/>
              <w:jc w:val="both"/>
            </w:pPr>
          </w:p>
        </w:tc>
        <w:tc>
          <w:tcPr>
            <w:tcW w:w="6690" w:type="dxa"/>
          </w:tcPr>
          <w:p w14:paraId="09D7E945" w14:textId="77777777" w:rsidR="002F04B5" w:rsidRPr="00B77BB5" w:rsidRDefault="002F04B5" w:rsidP="001319AD">
            <w:pPr>
              <w:jc w:val="both"/>
            </w:pPr>
            <w:r w:rsidRPr="00B77BB5">
              <w:t>Shirley Ovaere - VVSG</w:t>
            </w:r>
          </w:p>
        </w:tc>
      </w:tr>
      <w:tr w:rsidR="002F04B5" w:rsidRPr="00B77BB5" w14:paraId="3E197BA3" w14:textId="77777777" w:rsidTr="00AC64E2">
        <w:tc>
          <w:tcPr>
            <w:tcW w:w="1218" w:type="dxa"/>
          </w:tcPr>
          <w:p w14:paraId="5636BCCA" w14:textId="77777777" w:rsidR="002F04B5" w:rsidRPr="00B77BB5" w:rsidRDefault="002F04B5" w:rsidP="001319AD">
            <w:pPr>
              <w:spacing w:after="200" w:line="276" w:lineRule="auto"/>
              <w:jc w:val="both"/>
            </w:pPr>
          </w:p>
        </w:tc>
        <w:tc>
          <w:tcPr>
            <w:tcW w:w="6690" w:type="dxa"/>
          </w:tcPr>
          <w:p w14:paraId="0CF56B13" w14:textId="77777777" w:rsidR="002F04B5" w:rsidRPr="00B77BB5" w:rsidRDefault="002F04B5" w:rsidP="001319AD">
            <w:pPr>
              <w:jc w:val="both"/>
            </w:pPr>
            <w:r w:rsidRPr="00B77BB5">
              <w:t>Audric Engelen - CREG</w:t>
            </w:r>
          </w:p>
        </w:tc>
      </w:tr>
      <w:tr w:rsidR="002F04B5" w:rsidRPr="00B77BB5" w14:paraId="413318A5" w14:textId="77777777" w:rsidTr="00AC64E2">
        <w:tc>
          <w:tcPr>
            <w:tcW w:w="1218" w:type="dxa"/>
          </w:tcPr>
          <w:p w14:paraId="72A8FDD8" w14:textId="77777777" w:rsidR="002F04B5" w:rsidRPr="00B77BB5" w:rsidRDefault="002F04B5" w:rsidP="001319AD">
            <w:pPr>
              <w:spacing w:after="200" w:line="276" w:lineRule="auto"/>
              <w:jc w:val="both"/>
            </w:pPr>
          </w:p>
        </w:tc>
        <w:tc>
          <w:tcPr>
            <w:tcW w:w="6690" w:type="dxa"/>
          </w:tcPr>
          <w:p w14:paraId="581F3B4F" w14:textId="77777777" w:rsidR="002F04B5" w:rsidRPr="00B77BB5" w:rsidRDefault="002F04B5" w:rsidP="001319AD">
            <w:pPr>
              <w:jc w:val="both"/>
            </w:pPr>
            <w:r w:rsidRPr="00B77BB5">
              <w:t>Steffi De Craemer – Beweging.net</w:t>
            </w:r>
          </w:p>
        </w:tc>
      </w:tr>
      <w:tr w:rsidR="002F04B5" w:rsidRPr="00B77BB5" w14:paraId="5421D6A4" w14:textId="77777777" w:rsidTr="00AC64E2">
        <w:tc>
          <w:tcPr>
            <w:tcW w:w="1218" w:type="dxa"/>
          </w:tcPr>
          <w:p w14:paraId="60454EB3" w14:textId="77777777" w:rsidR="002F04B5" w:rsidRPr="00B77BB5" w:rsidRDefault="002F04B5" w:rsidP="001319AD">
            <w:pPr>
              <w:spacing w:after="200" w:line="276" w:lineRule="auto"/>
              <w:jc w:val="both"/>
            </w:pPr>
          </w:p>
        </w:tc>
        <w:tc>
          <w:tcPr>
            <w:tcW w:w="6690" w:type="dxa"/>
          </w:tcPr>
          <w:p w14:paraId="5DE92448" w14:textId="77777777" w:rsidR="002F04B5" w:rsidRPr="00B77BB5" w:rsidRDefault="002F04B5" w:rsidP="001319AD">
            <w:pPr>
              <w:jc w:val="both"/>
            </w:pPr>
            <w:r w:rsidRPr="00B77BB5">
              <w:t>Simon Hurd – Federatie OCMW's van Wallonië</w:t>
            </w:r>
          </w:p>
        </w:tc>
      </w:tr>
      <w:tr w:rsidR="002F04B5" w:rsidRPr="00B77BB5" w14:paraId="32AE2E83" w14:textId="77777777" w:rsidTr="00AC64E2">
        <w:tc>
          <w:tcPr>
            <w:tcW w:w="1218" w:type="dxa"/>
          </w:tcPr>
          <w:p w14:paraId="31342E6A" w14:textId="77777777" w:rsidR="002F04B5" w:rsidRPr="00B77BB5" w:rsidRDefault="002F04B5" w:rsidP="001319AD">
            <w:pPr>
              <w:spacing w:after="200" w:line="276" w:lineRule="auto"/>
              <w:jc w:val="both"/>
            </w:pPr>
          </w:p>
        </w:tc>
        <w:tc>
          <w:tcPr>
            <w:tcW w:w="6690" w:type="dxa"/>
          </w:tcPr>
          <w:p w14:paraId="39E5745F" w14:textId="77777777" w:rsidR="002F04B5" w:rsidRPr="00B77BB5" w:rsidRDefault="002F04B5" w:rsidP="001319AD">
            <w:pPr>
              <w:jc w:val="both"/>
            </w:pPr>
            <w:r w:rsidRPr="00B77BB5">
              <w:t>Patrick Debucquois – Adjunct-directeur Franstalig en Duitstalig Caritas Secours</w:t>
            </w:r>
          </w:p>
        </w:tc>
      </w:tr>
      <w:tr w:rsidR="002F04B5" w:rsidRPr="00B77BB5" w14:paraId="383F2F52" w14:textId="77777777" w:rsidTr="00AC64E2">
        <w:tc>
          <w:tcPr>
            <w:tcW w:w="1218" w:type="dxa"/>
          </w:tcPr>
          <w:p w14:paraId="5F3B34CD" w14:textId="77777777" w:rsidR="002F04B5" w:rsidRPr="00B77BB5" w:rsidRDefault="002F04B5" w:rsidP="001319AD">
            <w:pPr>
              <w:spacing w:after="200" w:line="276" w:lineRule="auto"/>
              <w:jc w:val="both"/>
            </w:pPr>
          </w:p>
        </w:tc>
        <w:tc>
          <w:tcPr>
            <w:tcW w:w="6690" w:type="dxa"/>
          </w:tcPr>
          <w:p w14:paraId="7D6574CF" w14:textId="77777777" w:rsidR="002F04B5" w:rsidRPr="00B77BB5" w:rsidRDefault="002F04B5" w:rsidP="001319AD">
            <w:pPr>
              <w:jc w:val="both"/>
            </w:pPr>
            <w:r w:rsidRPr="00B77BB5">
              <w:t>Renaud Vivien (FDSS, Federatie van de Maatschappelijke Diensten)</w:t>
            </w:r>
          </w:p>
        </w:tc>
      </w:tr>
      <w:tr w:rsidR="002F04B5" w:rsidRPr="00B77BB5" w14:paraId="1CC01690" w14:textId="77777777" w:rsidTr="00AC64E2">
        <w:tc>
          <w:tcPr>
            <w:tcW w:w="1218" w:type="dxa"/>
          </w:tcPr>
          <w:p w14:paraId="6B073C05" w14:textId="77777777" w:rsidR="002F04B5" w:rsidRPr="00B77BB5" w:rsidRDefault="002F04B5" w:rsidP="001319AD">
            <w:pPr>
              <w:spacing w:after="200" w:line="276" w:lineRule="auto"/>
              <w:jc w:val="both"/>
            </w:pPr>
          </w:p>
        </w:tc>
        <w:tc>
          <w:tcPr>
            <w:tcW w:w="6690" w:type="dxa"/>
          </w:tcPr>
          <w:p w14:paraId="0F9686DA" w14:textId="77777777" w:rsidR="002F04B5" w:rsidRPr="00B77BB5" w:rsidRDefault="002F04B5" w:rsidP="001319AD">
            <w:pPr>
              <w:jc w:val="both"/>
            </w:pPr>
            <w:r w:rsidRPr="00B77BB5">
              <w:t>Liévin Chemin (ACV Brussel)</w:t>
            </w:r>
          </w:p>
        </w:tc>
      </w:tr>
      <w:tr w:rsidR="002F04B5" w:rsidRPr="00B77BB5" w14:paraId="24F135BA" w14:textId="77777777" w:rsidTr="00AC64E2">
        <w:tc>
          <w:tcPr>
            <w:tcW w:w="1218" w:type="dxa"/>
          </w:tcPr>
          <w:p w14:paraId="102E6317" w14:textId="77777777" w:rsidR="002F04B5" w:rsidRPr="00B77BB5" w:rsidRDefault="002F04B5" w:rsidP="001319AD">
            <w:pPr>
              <w:spacing w:after="200" w:line="276" w:lineRule="auto"/>
              <w:jc w:val="both"/>
            </w:pPr>
          </w:p>
        </w:tc>
        <w:tc>
          <w:tcPr>
            <w:tcW w:w="6690" w:type="dxa"/>
          </w:tcPr>
          <w:p w14:paraId="5E9C157D" w14:textId="77777777" w:rsidR="002F04B5" w:rsidRPr="00B77BB5" w:rsidRDefault="002F04B5" w:rsidP="001319AD">
            <w:pPr>
              <w:jc w:val="both"/>
            </w:pPr>
            <w:r w:rsidRPr="00B77BB5">
              <w:t>Bolssens Luc – Gemeenschappelijk Daklozenfront</w:t>
            </w:r>
          </w:p>
        </w:tc>
      </w:tr>
      <w:tr w:rsidR="002F04B5" w:rsidRPr="00B77BB5" w14:paraId="20EF196F" w14:textId="77777777" w:rsidTr="00AC64E2">
        <w:tc>
          <w:tcPr>
            <w:tcW w:w="1218" w:type="dxa"/>
          </w:tcPr>
          <w:p w14:paraId="54A6E7D4" w14:textId="77777777" w:rsidR="002F04B5" w:rsidRPr="00B77BB5" w:rsidRDefault="002F04B5" w:rsidP="001319AD">
            <w:pPr>
              <w:spacing w:after="200" w:line="276" w:lineRule="auto"/>
              <w:jc w:val="both"/>
            </w:pPr>
          </w:p>
        </w:tc>
        <w:tc>
          <w:tcPr>
            <w:tcW w:w="6690" w:type="dxa"/>
          </w:tcPr>
          <w:p w14:paraId="22187FE4" w14:textId="77777777" w:rsidR="002F04B5" w:rsidRPr="00B77BB5" w:rsidRDefault="002F04B5" w:rsidP="001319AD">
            <w:pPr>
              <w:jc w:val="both"/>
            </w:pPr>
            <w:r w:rsidRPr="00B77BB5">
              <w:t>Noellie Denomerenge - RWLP</w:t>
            </w:r>
          </w:p>
        </w:tc>
      </w:tr>
    </w:tbl>
    <w:p w14:paraId="0530B00B" w14:textId="77777777" w:rsidR="00B64239" w:rsidRPr="00B77BB5" w:rsidRDefault="00B64239" w:rsidP="001319AD">
      <w:pPr>
        <w:jc w:val="both"/>
        <w:rPr>
          <w:i/>
          <w:iCs/>
        </w:rPr>
      </w:pPr>
    </w:p>
    <w:p w14:paraId="5A514F67" w14:textId="16458CA1" w:rsidR="00B64239" w:rsidRPr="00B77BB5" w:rsidRDefault="00B64239" w:rsidP="001319AD">
      <w:pPr>
        <w:jc w:val="both"/>
      </w:pPr>
      <w:r w:rsidRPr="00B77BB5">
        <w:rPr>
          <w:i/>
        </w:rPr>
        <w:t>Document wordt momenteel door de deelnemers gevalideerd.</w:t>
      </w:r>
    </w:p>
    <w:p w14:paraId="36EE70E7" w14:textId="5BDD608C" w:rsidR="00FA0A47" w:rsidRPr="00B77BB5" w:rsidRDefault="00FA0A47" w:rsidP="001319AD">
      <w:pPr>
        <w:jc w:val="both"/>
      </w:pPr>
    </w:p>
    <w:p w14:paraId="745DBCA2" w14:textId="77777777" w:rsidR="00B64239" w:rsidRPr="00B77BB5" w:rsidRDefault="00B64239" w:rsidP="001319AD">
      <w:pPr>
        <w:spacing w:after="200" w:line="276" w:lineRule="auto"/>
        <w:jc w:val="both"/>
        <w:rPr>
          <w:rFonts w:asciiTheme="majorHAnsi" w:eastAsiaTheme="majorEastAsia" w:hAnsiTheme="majorHAnsi" w:cstheme="majorBidi"/>
          <w:b/>
          <w:color w:val="FFD12B"/>
          <w:sz w:val="48"/>
          <w:szCs w:val="32"/>
        </w:rPr>
      </w:pPr>
      <w:r w:rsidRPr="00B77BB5">
        <w:br w:type="page"/>
      </w:r>
    </w:p>
    <w:p w14:paraId="300B4B1F" w14:textId="01AC91C5" w:rsidR="00B01FD3" w:rsidRPr="00B77BB5" w:rsidRDefault="00B64239">
      <w:pPr>
        <w:pStyle w:val="Heading1"/>
        <w:numPr>
          <w:ilvl w:val="0"/>
          <w:numId w:val="1"/>
        </w:numPr>
        <w:jc w:val="both"/>
      </w:pPr>
      <w:r w:rsidRPr="00B77BB5">
        <w:lastRenderedPageBreak/>
        <w:t>Inleiding</w:t>
      </w:r>
    </w:p>
    <w:p w14:paraId="51665148" w14:textId="77777777" w:rsidR="00B64239" w:rsidRPr="00B77BB5" w:rsidRDefault="00B64239" w:rsidP="001319AD">
      <w:pPr>
        <w:jc w:val="both"/>
      </w:pPr>
    </w:p>
    <w:p w14:paraId="3A7A76C8" w14:textId="51F0E4C9" w:rsidR="00E94550" w:rsidRPr="00B77BB5" w:rsidRDefault="00E94550" w:rsidP="001319AD">
      <w:pPr>
        <w:jc w:val="both"/>
      </w:pPr>
      <w:r w:rsidRPr="00B77BB5">
        <w:t>Deze werkgroep maakt deel uit van de uitwerking van het Federaal Plan Armoedebestrijding. Het doel is om vaststellingen uit het veld te verzamelen en concrete aanbevelingen te doen over veranderingen in koopkracht, maatschappelijke bijstand, belastingen en toegang tot rechten en essentiële diensten.</w:t>
      </w:r>
    </w:p>
    <w:p w14:paraId="1CE9557F" w14:textId="6F257A9B" w:rsidR="00E11665" w:rsidRPr="00B77BB5" w:rsidRDefault="00E11665" w:rsidP="001319AD">
      <w:pPr>
        <w:jc w:val="both"/>
      </w:pPr>
    </w:p>
    <w:p w14:paraId="03CE7281" w14:textId="2465D0C5" w:rsidR="003A21B0" w:rsidRPr="00B77BB5" w:rsidRDefault="00EC39A1">
      <w:pPr>
        <w:pStyle w:val="Heading1"/>
        <w:numPr>
          <w:ilvl w:val="0"/>
          <w:numId w:val="1"/>
        </w:numPr>
        <w:jc w:val="both"/>
      </w:pPr>
      <w:r w:rsidRPr="00B77BB5">
        <w:t xml:space="preserve"> Vaststellingen en aanbevelingen</w:t>
      </w:r>
    </w:p>
    <w:p w14:paraId="0BFC0AD3" w14:textId="3DF33C82" w:rsidR="000A68B6" w:rsidRPr="00B77BB5" w:rsidRDefault="000A68B6" w:rsidP="001319AD">
      <w:pPr>
        <w:jc w:val="both"/>
        <w:rPr>
          <w:b/>
          <w:bCs/>
        </w:rPr>
      </w:pPr>
      <w:r w:rsidRPr="00B77BB5">
        <w:rPr>
          <w:b/>
        </w:rPr>
        <w:t>Voorafgaande opmerkingen</w:t>
      </w:r>
    </w:p>
    <w:p w14:paraId="299EA01D" w14:textId="77777777" w:rsidR="00DD6402" w:rsidRPr="00B77BB5" w:rsidRDefault="00DD6402" w:rsidP="001319AD">
      <w:pPr>
        <w:jc w:val="both"/>
      </w:pPr>
      <w:r w:rsidRPr="00B77BB5">
        <w:t>Een sterke sociale zekerheid versterkt de koopkracht. Daarom moeten we structureel investeren in een solide sociale zekerheid. Koopkracht is niet de sleutel tot een sterkere sociale zekerheid. Bovenal vereist koopkracht een inkomen en uitkeringen die een waardig leven garanderen.</w:t>
      </w:r>
    </w:p>
    <w:p w14:paraId="45714A5B" w14:textId="3910A870" w:rsidR="00DD6402" w:rsidRPr="00B77BB5" w:rsidRDefault="00DD6402" w:rsidP="001319AD">
      <w:pPr>
        <w:jc w:val="both"/>
      </w:pPr>
      <w:r w:rsidRPr="00B77BB5">
        <w:t>De werkgroep wil dat de 2e maatregel "de laagste inkomens versterken (...)" wordt aangevuld met "(...) evenals de uitkeringen door een verdere verhoging van de minimumlonen in twee fasen".</w:t>
      </w:r>
    </w:p>
    <w:p w14:paraId="017D2EA2" w14:textId="154B7A2C" w:rsidR="001319AD" w:rsidRPr="00B77BB5" w:rsidRDefault="00B211F8" w:rsidP="001319AD">
      <w:pPr>
        <w:jc w:val="both"/>
      </w:pPr>
      <w:r w:rsidRPr="00B77BB5">
        <w:t>De werkgroep heeft ook bedenkingen bij de voorgestelde maatregel: "de belastinghervorming voorziet in financiële steun en belastingverlagingen voor huishoudens, die het gemakkelijker zullen maken om de kosten van de energietransitie te beheersen".</w:t>
      </w:r>
    </w:p>
    <w:p w14:paraId="3F5BC7B5" w14:textId="3A729B6C" w:rsidR="000A68B6" w:rsidRPr="00B77BB5" w:rsidRDefault="00B211F8" w:rsidP="001319AD">
      <w:pPr>
        <w:jc w:val="both"/>
      </w:pPr>
      <w:r w:rsidRPr="00B77BB5">
        <w:t>Het valt immers nog te bezien of een stijging van de lage inkomens daadwerkelijk zal resulteren in een nettowinst na belastingen. Bovendien bestaat het risico van een parallelle stijging van de consumentenprijzen.</w:t>
      </w:r>
      <w:r w:rsidRPr="00B77BB5">
        <w:br/>
        <w:t>De groep benadrukt daarom de noodzaak om de prijzen van basisgoederen en -diensten te reguleren, inclusief prijsverschillen tussen aankopen in de winkel en online aankopen.</w:t>
      </w:r>
    </w:p>
    <w:p w14:paraId="27B64C4D" w14:textId="00858D3E" w:rsidR="00F3279A" w:rsidRPr="00B77BB5" w:rsidRDefault="003A21B0">
      <w:pPr>
        <w:pStyle w:val="ListParagraph"/>
        <w:numPr>
          <w:ilvl w:val="0"/>
          <w:numId w:val="20"/>
        </w:numPr>
        <w:jc w:val="both"/>
        <w:rPr>
          <w:b/>
          <w:bCs/>
        </w:rPr>
      </w:pPr>
      <w:r w:rsidRPr="00B77BB5">
        <w:rPr>
          <w:b/>
        </w:rPr>
        <w:t>Werkloosheid en tewerkstelling</w:t>
      </w:r>
    </w:p>
    <w:p w14:paraId="1AF074B4" w14:textId="77777777" w:rsidR="003A21B0" w:rsidRPr="00B77BB5" w:rsidRDefault="003A21B0" w:rsidP="001319AD">
      <w:pPr>
        <w:jc w:val="both"/>
      </w:pPr>
      <w:r w:rsidRPr="00B77BB5">
        <w:rPr>
          <w:b/>
        </w:rPr>
        <w:t>Vaststellingen:</w:t>
      </w:r>
    </w:p>
    <w:p w14:paraId="15B9E8D9" w14:textId="77777777" w:rsidR="003A21B0" w:rsidRPr="00B77BB5" w:rsidRDefault="003A21B0">
      <w:pPr>
        <w:numPr>
          <w:ilvl w:val="0"/>
          <w:numId w:val="2"/>
        </w:numPr>
        <w:jc w:val="both"/>
      </w:pPr>
      <w:r w:rsidRPr="00B77BB5">
        <w:t>Een beperking in de tijd van het recht op een werkloosheidsuitkering zou een derde van de begunstigden treffen, voornamelijk samenwonende vrouwen en eenoudergezinnen.</w:t>
      </w:r>
    </w:p>
    <w:p w14:paraId="18267CF0" w14:textId="77777777" w:rsidR="003A21B0" w:rsidRPr="00B77BB5" w:rsidRDefault="003A21B0">
      <w:pPr>
        <w:numPr>
          <w:ilvl w:val="0"/>
          <w:numId w:val="2"/>
        </w:numPr>
        <w:jc w:val="both"/>
      </w:pPr>
      <w:r w:rsidRPr="00B77BB5">
        <w:t>De toegang tot werk is voor deze groepen beperkt (bijv. werktijden die onverenigbaar zijn met de verplichtingen als ouder).</w:t>
      </w:r>
    </w:p>
    <w:p w14:paraId="1793CE32" w14:textId="77777777" w:rsidR="003A21B0" w:rsidRPr="00B77BB5" w:rsidRDefault="003A21B0">
      <w:pPr>
        <w:numPr>
          <w:ilvl w:val="0"/>
          <w:numId w:val="2"/>
        </w:numPr>
        <w:jc w:val="both"/>
      </w:pPr>
      <w:r w:rsidRPr="00B77BB5">
        <w:t>Het is slechts één keer toegestaan om zonder boete van baan te veranderen, wat te beperkend is.</w:t>
      </w:r>
    </w:p>
    <w:p w14:paraId="77D2BE3D" w14:textId="682FBA27" w:rsidR="00B86BDD" w:rsidRPr="00B77BB5" w:rsidRDefault="00B86BDD">
      <w:pPr>
        <w:numPr>
          <w:ilvl w:val="0"/>
          <w:numId w:val="2"/>
        </w:numPr>
        <w:jc w:val="both"/>
      </w:pPr>
      <w:r w:rsidRPr="00B77BB5">
        <w:t>Ongelijke indexering afhankelijk van statuut of sector (jaarlijkse indexering voor arbeiders, terwijl andere sectoren een driemaandelijkse indexering hebben).</w:t>
      </w:r>
    </w:p>
    <w:p w14:paraId="1C5A00D3" w14:textId="77777777" w:rsidR="003A21B0" w:rsidRPr="00B77BB5" w:rsidRDefault="003A21B0" w:rsidP="001319AD">
      <w:pPr>
        <w:jc w:val="both"/>
      </w:pPr>
      <w:r w:rsidRPr="00B77BB5">
        <w:rPr>
          <w:b/>
        </w:rPr>
        <w:t>Aanbevelingen:</w:t>
      </w:r>
    </w:p>
    <w:p w14:paraId="211EB6EF" w14:textId="68AFED6C" w:rsidR="00454F7F" w:rsidRPr="00B77BB5" w:rsidRDefault="00454F7F">
      <w:pPr>
        <w:numPr>
          <w:ilvl w:val="0"/>
          <w:numId w:val="3"/>
        </w:numPr>
        <w:jc w:val="both"/>
      </w:pPr>
      <w:r w:rsidRPr="00B77BB5">
        <w:t>Impactstudie over de hervorming van de werkloosheid.</w:t>
      </w:r>
    </w:p>
    <w:p w14:paraId="43DE5C05" w14:textId="4015D87B" w:rsidR="003A21B0" w:rsidRPr="00B77BB5" w:rsidRDefault="003A21B0">
      <w:pPr>
        <w:numPr>
          <w:ilvl w:val="0"/>
          <w:numId w:val="3"/>
        </w:numPr>
        <w:jc w:val="both"/>
      </w:pPr>
      <w:r w:rsidRPr="00B77BB5">
        <w:t xml:space="preserve">De overgang naar de beperking van de werkloosheidsuitkering op een geleidelijke en gecoördineerde manier voorbereiden. Deze verandering kan niet van de ene op de andere dag </w:t>
      </w:r>
      <w:r w:rsidRPr="00B77BB5">
        <w:lastRenderedPageBreak/>
        <w:t xml:space="preserve">plaatsvinden; ze moet worden voorbereid en geïmplementeerd via een gefaseerde aanpak, waarbij de partners worden betrokken. </w:t>
      </w:r>
    </w:p>
    <w:p w14:paraId="447CFC97" w14:textId="77777777" w:rsidR="003A21B0" w:rsidRPr="00B77BB5" w:rsidRDefault="003A21B0">
      <w:pPr>
        <w:numPr>
          <w:ilvl w:val="0"/>
          <w:numId w:val="3"/>
        </w:numPr>
        <w:jc w:val="both"/>
      </w:pPr>
      <w:r w:rsidRPr="00B77BB5">
        <w:t>Begeleiding garanderen voor kwetsbare groepen.</w:t>
      </w:r>
    </w:p>
    <w:p w14:paraId="09F2FF5B" w14:textId="41D373F6" w:rsidR="003A21B0" w:rsidRPr="00B77BB5" w:rsidRDefault="003A21B0">
      <w:pPr>
        <w:numPr>
          <w:ilvl w:val="0"/>
          <w:numId w:val="3"/>
        </w:numPr>
        <w:jc w:val="both"/>
      </w:pPr>
      <w:r w:rsidRPr="00B77BB5">
        <w:t>De specifieke aard van bepaalde situaties (alleenstaand ouderschap, atypische werktijden) erkennen.</w:t>
      </w:r>
    </w:p>
    <w:p w14:paraId="5C04C2C7" w14:textId="4D461741" w:rsidR="00A87735" w:rsidRPr="00B77BB5" w:rsidRDefault="00DD40C3">
      <w:pPr>
        <w:numPr>
          <w:ilvl w:val="0"/>
          <w:numId w:val="3"/>
        </w:numPr>
        <w:jc w:val="both"/>
      </w:pPr>
      <w:r w:rsidRPr="00B77BB5">
        <w:t xml:space="preserve">De laagste inkomens en de verschillende soorten van sociale uitkeringen versterken. </w:t>
      </w:r>
    </w:p>
    <w:p w14:paraId="12B72593" w14:textId="1747D109" w:rsidR="00B86BDD" w:rsidRPr="00B77BB5" w:rsidRDefault="00B86BDD">
      <w:pPr>
        <w:numPr>
          <w:ilvl w:val="0"/>
          <w:numId w:val="3"/>
        </w:numPr>
        <w:jc w:val="both"/>
      </w:pPr>
      <w:r w:rsidRPr="00B77BB5">
        <w:t>Zorgen voor eerlijkheid tussen verschillende statuten en sectoren.</w:t>
      </w:r>
    </w:p>
    <w:p w14:paraId="68B927F0" w14:textId="79E7EA1F" w:rsidR="002A1F8C" w:rsidRPr="00B77BB5" w:rsidRDefault="002A1F8C">
      <w:pPr>
        <w:numPr>
          <w:ilvl w:val="0"/>
          <w:numId w:val="3"/>
        </w:numPr>
        <w:jc w:val="both"/>
      </w:pPr>
      <w:r w:rsidRPr="00B77BB5">
        <w:t>Meer investeren in het veld (OCMW, verenigingen)</w:t>
      </w:r>
    </w:p>
    <w:p w14:paraId="2B070429" w14:textId="77777777" w:rsidR="00F3279A" w:rsidRPr="00B77BB5" w:rsidRDefault="00F3279A" w:rsidP="001319AD">
      <w:pPr>
        <w:pStyle w:val="ListParagraph"/>
        <w:jc w:val="both"/>
        <w:rPr>
          <w:b/>
          <w:bCs/>
        </w:rPr>
      </w:pPr>
    </w:p>
    <w:p w14:paraId="3A14B6AF" w14:textId="77777777" w:rsidR="00F3279A" w:rsidRPr="00B77BB5" w:rsidRDefault="00F3279A" w:rsidP="001319AD">
      <w:pPr>
        <w:pStyle w:val="ListParagraph"/>
        <w:jc w:val="both"/>
        <w:rPr>
          <w:b/>
          <w:bCs/>
        </w:rPr>
      </w:pPr>
    </w:p>
    <w:p w14:paraId="4A3AF902" w14:textId="1A32D44B" w:rsidR="003A21B0" w:rsidRPr="00B77BB5" w:rsidRDefault="003A21B0">
      <w:pPr>
        <w:pStyle w:val="ListParagraph"/>
        <w:numPr>
          <w:ilvl w:val="0"/>
          <w:numId w:val="20"/>
        </w:numPr>
        <w:jc w:val="both"/>
        <w:rPr>
          <w:b/>
          <w:bCs/>
        </w:rPr>
      </w:pPr>
      <w:r w:rsidRPr="00B77BB5">
        <w:rPr>
          <w:b/>
        </w:rPr>
        <w:t>Sociale hulp en uitkeringen</w:t>
      </w:r>
    </w:p>
    <w:p w14:paraId="536FAF59" w14:textId="77777777" w:rsidR="003A21B0" w:rsidRPr="00B77BB5" w:rsidRDefault="003A21B0" w:rsidP="001319AD">
      <w:pPr>
        <w:jc w:val="both"/>
      </w:pPr>
      <w:r w:rsidRPr="00B77BB5">
        <w:rPr>
          <w:b/>
        </w:rPr>
        <w:t>Vaststellingen:</w:t>
      </w:r>
    </w:p>
    <w:p w14:paraId="7EA6B934" w14:textId="77777777" w:rsidR="003A21B0" w:rsidRPr="00B77BB5" w:rsidRDefault="003A21B0">
      <w:pPr>
        <w:numPr>
          <w:ilvl w:val="0"/>
          <w:numId w:val="4"/>
        </w:numPr>
        <w:jc w:val="both"/>
      </w:pPr>
      <w:r w:rsidRPr="00B77BB5">
        <w:t>Sociale uitkeringen blijven onder de armoedegrens.</w:t>
      </w:r>
    </w:p>
    <w:p w14:paraId="5D1BF1DB" w14:textId="77777777" w:rsidR="003A21B0" w:rsidRPr="00B77BB5" w:rsidRDefault="003A21B0">
      <w:pPr>
        <w:numPr>
          <w:ilvl w:val="0"/>
          <w:numId w:val="4"/>
        </w:numPr>
        <w:jc w:val="both"/>
      </w:pPr>
      <w:r w:rsidRPr="00B77BB5">
        <w:t>Geplande verlaging van de voedselhulp met 50%, ondanks andersluidende aanbevelingen van de Hoge Gezondheidsraad.</w:t>
      </w:r>
    </w:p>
    <w:p w14:paraId="291DF129" w14:textId="1AAB5BC6" w:rsidR="00A7401E" w:rsidRPr="00B77BB5" w:rsidRDefault="00A7401E">
      <w:pPr>
        <w:numPr>
          <w:ilvl w:val="0"/>
          <w:numId w:val="4"/>
        </w:numPr>
        <w:jc w:val="both"/>
      </w:pPr>
      <w:r w:rsidRPr="00B77BB5">
        <w:t>Hulp op het niveau van het inkomen is effectiever dan steun in natura.</w:t>
      </w:r>
    </w:p>
    <w:p w14:paraId="141A430A" w14:textId="77777777" w:rsidR="003A21B0" w:rsidRPr="00B77BB5" w:rsidRDefault="003A21B0">
      <w:pPr>
        <w:numPr>
          <w:ilvl w:val="0"/>
          <w:numId w:val="4"/>
        </w:numPr>
        <w:jc w:val="both"/>
      </w:pPr>
      <w:r w:rsidRPr="00B77BB5">
        <w:t>Het aftoppen van uitkeringen wordt gezien als een instrument voor sociale controle.</w:t>
      </w:r>
    </w:p>
    <w:p w14:paraId="4E8AA05D" w14:textId="0BE95628" w:rsidR="003A21B0" w:rsidRPr="00B77BB5" w:rsidRDefault="003A21B0">
      <w:pPr>
        <w:numPr>
          <w:ilvl w:val="0"/>
          <w:numId w:val="4"/>
        </w:numPr>
        <w:jc w:val="both"/>
      </w:pPr>
      <w:r w:rsidRPr="00B77BB5">
        <w:t xml:space="preserve">Mensen in kwetsbare situaties moeten voortdurend hun behoeften, hun noodtoestand en hun armoede rechtvaardigen. </w:t>
      </w:r>
    </w:p>
    <w:p w14:paraId="3736DF6F" w14:textId="77777777" w:rsidR="003A21B0" w:rsidRPr="00B77BB5" w:rsidRDefault="003A21B0">
      <w:pPr>
        <w:numPr>
          <w:ilvl w:val="0"/>
          <w:numId w:val="4"/>
        </w:numPr>
        <w:jc w:val="both"/>
      </w:pPr>
      <w:r w:rsidRPr="00B77BB5">
        <w:t>50% van wie in aanmerking komt voor de IGO, ontvangt die niet.</w:t>
      </w:r>
    </w:p>
    <w:p w14:paraId="4F268262" w14:textId="77777777" w:rsidR="003A21B0" w:rsidRPr="00B77BB5" w:rsidRDefault="003A21B0" w:rsidP="001319AD">
      <w:pPr>
        <w:jc w:val="both"/>
      </w:pPr>
      <w:r w:rsidRPr="00B77BB5">
        <w:rPr>
          <w:b/>
        </w:rPr>
        <w:t>Aanbevelingen:</w:t>
      </w:r>
    </w:p>
    <w:p w14:paraId="1364DA5F" w14:textId="77777777" w:rsidR="003A21B0" w:rsidRPr="00B77BB5" w:rsidRDefault="003A21B0">
      <w:pPr>
        <w:numPr>
          <w:ilvl w:val="0"/>
          <w:numId w:val="5"/>
        </w:numPr>
        <w:jc w:val="both"/>
      </w:pPr>
      <w:r w:rsidRPr="00B77BB5">
        <w:t>Uitkeringen verhogen tot boven de armoedegrens.</w:t>
      </w:r>
    </w:p>
    <w:p w14:paraId="1F1A3027" w14:textId="77777777" w:rsidR="003A21B0" w:rsidRPr="00B77BB5" w:rsidRDefault="003A21B0">
      <w:pPr>
        <w:numPr>
          <w:ilvl w:val="0"/>
          <w:numId w:val="5"/>
        </w:numPr>
        <w:jc w:val="both"/>
      </w:pPr>
      <w:r w:rsidRPr="00B77BB5">
        <w:t>Het huidige sociale tarief behouden en uitbreiden.</w:t>
      </w:r>
    </w:p>
    <w:p w14:paraId="4AB60024" w14:textId="77777777" w:rsidR="003A21B0" w:rsidRPr="00B77BB5" w:rsidRDefault="003A21B0">
      <w:pPr>
        <w:numPr>
          <w:ilvl w:val="0"/>
          <w:numId w:val="5"/>
        </w:numPr>
        <w:jc w:val="both"/>
      </w:pPr>
      <w:r w:rsidRPr="00B77BB5">
        <w:t>Voorrang geven aan inkomenssteun boven steun in natura.</w:t>
      </w:r>
    </w:p>
    <w:p w14:paraId="433032DB" w14:textId="77777777" w:rsidR="003A21B0" w:rsidRPr="00B77BB5" w:rsidRDefault="003A21B0">
      <w:pPr>
        <w:numPr>
          <w:ilvl w:val="0"/>
          <w:numId w:val="5"/>
        </w:numPr>
        <w:jc w:val="both"/>
      </w:pPr>
      <w:r w:rsidRPr="00B77BB5">
        <w:t>De noodzaak om de basisbehoeften voortdurend te bewijzen, afschaffen.</w:t>
      </w:r>
    </w:p>
    <w:p w14:paraId="2B1BC3DE" w14:textId="77777777" w:rsidR="003A21B0" w:rsidRPr="00B77BB5" w:rsidRDefault="003A21B0">
      <w:pPr>
        <w:numPr>
          <w:ilvl w:val="0"/>
          <w:numId w:val="5"/>
        </w:numPr>
        <w:jc w:val="both"/>
      </w:pPr>
      <w:r w:rsidRPr="00B77BB5">
        <w:t>Een leefloon en supplementen voor studenten in moeilijkheden garanderen.</w:t>
      </w:r>
    </w:p>
    <w:p w14:paraId="6335D9FD" w14:textId="77777777" w:rsidR="003A21B0" w:rsidRPr="00B77BB5" w:rsidRDefault="003A21B0">
      <w:pPr>
        <w:numPr>
          <w:ilvl w:val="0"/>
          <w:numId w:val="5"/>
        </w:numPr>
        <w:jc w:val="both"/>
      </w:pPr>
      <w:r w:rsidRPr="00B77BB5">
        <w:t>Een jaarlijks overleg organiseren met mensen die in armoede leven.</w:t>
      </w:r>
    </w:p>
    <w:p w14:paraId="1774ECF0" w14:textId="34BA9696" w:rsidR="00FB3892" w:rsidRPr="00B77BB5" w:rsidRDefault="00FB3892">
      <w:pPr>
        <w:numPr>
          <w:ilvl w:val="0"/>
          <w:numId w:val="5"/>
        </w:numPr>
        <w:jc w:val="both"/>
      </w:pPr>
      <w:r w:rsidRPr="00B77BB5">
        <w:t>Het bedrag van de uitkeringen verhogen in overeenstemming met de salarissen.</w:t>
      </w:r>
    </w:p>
    <w:p w14:paraId="68A064FA" w14:textId="2521C06B" w:rsidR="0087411B" w:rsidRPr="00B77BB5" w:rsidRDefault="0087411B">
      <w:pPr>
        <w:numPr>
          <w:ilvl w:val="0"/>
          <w:numId w:val="5"/>
        </w:numPr>
        <w:jc w:val="both"/>
      </w:pPr>
      <w:r w:rsidRPr="00B77BB5">
        <w:t>Het kader van sociale rechten uitbreiden naar nieuwkomers.</w:t>
      </w:r>
    </w:p>
    <w:p w14:paraId="743585A1" w14:textId="53F8B979" w:rsidR="00130CA5" w:rsidRPr="00B77BB5" w:rsidRDefault="00130CA5">
      <w:pPr>
        <w:numPr>
          <w:ilvl w:val="0"/>
          <w:numId w:val="5"/>
        </w:numPr>
        <w:jc w:val="both"/>
      </w:pPr>
      <w:r w:rsidRPr="00B77BB5">
        <w:t>Rekening houden met persoonlijke omstandigheden (extra kosten voor mensen met een handicap, eenoudergezinnen enzovoort).</w:t>
      </w:r>
    </w:p>
    <w:p w14:paraId="6A414584" w14:textId="6AADAAA0" w:rsidR="007420B4" w:rsidRPr="00B77BB5" w:rsidRDefault="007420B4">
      <w:pPr>
        <w:numPr>
          <w:ilvl w:val="0"/>
          <w:numId w:val="5"/>
        </w:numPr>
        <w:jc w:val="both"/>
      </w:pPr>
      <w:r w:rsidRPr="00B77BB5">
        <w:t>Het RVT-statuut beperken op basis van statuten in plaats van inkomen.</w:t>
      </w:r>
    </w:p>
    <w:p w14:paraId="4104B272" w14:textId="6298F76C" w:rsidR="00807B17" w:rsidRPr="00B77BB5" w:rsidRDefault="00807B17">
      <w:pPr>
        <w:numPr>
          <w:ilvl w:val="0"/>
          <w:numId w:val="5"/>
        </w:numPr>
        <w:jc w:val="both"/>
      </w:pPr>
      <w:r w:rsidRPr="00B77BB5">
        <w:t>Automatisering van sociale rechten, inhoud in toegankelijke taal</w:t>
      </w:r>
    </w:p>
    <w:p w14:paraId="23A7F2B1" w14:textId="77777777" w:rsidR="00804828" w:rsidRPr="00B77BB5" w:rsidRDefault="00804828" w:rsidP="001319AD">
      <w:pPr>
        <w:pStyle w:val="ListParagraph"/>
        <w:jc w:val="both"/>
        <w:rPr>
          <w:b/>
          <w:bCs/>
        </w:rPr>
      </w:pPr>
    </w:p>
    <w:p w14:paraId="768C8F83" w14:textId="2CD4568B" w:rsidR="00804828" w:rsidRPr="00B77BB5" w:rsidRDefault="003A21B0">
      <w:pPr>
        <w:pStyle w:val="ListParagraph"/>
        <w:numPr>
          <w:ilvl w:val="0"/>
          <w:numId w:val="20"/>
        </w:numPr>
        <w:jc w:val="both"/>
        <w:rPr>
          <w:b/>
          <w:bCs/>
        </w:rPr>
      </w:pPr>
      <w:r w:rsidRPr="00B77BB5">
        <w:rPr>
          <w:b/>
        </w:rPr>
        <w:lastRenderedPageBreak/>
        <w:t>Huisvesting en energie</w:t>
      </w:r>
    </w:p>
    <w:p w14:paraId="13C0C726" w14:textId="77777777" w:rsidR="003A21B0" w:rsidRPr="00B77BB5" w:rsidRDefault="003A21B0" w:rsidP="001319AD">
      <w:pPr>
        <w:jc w:val="both"/>
      </w:pPr>
      <w:r w:rsidRPr="00B77BB5">
        <w:rPr>
          <w:b/>
        </w:rPr>
        <w:t>Vaststellingen:</w:t>
      </w:r>
    </w:p>
    <w:p w14:paraId="65A4B4A0" w14:textId="59F5F230" w:rsidR="003A21B0" w:rsidRPr="00B77BB5" w:rsidRDefault="003A21B0">
      <w:pPr>
        <w:numPr>
          <w:ilvl w:val="0"/>
          <w:numId w:val="6"/>
        </w:numPr>
        <w:jc w:val="both"/>
      </w:pPr>
      <w:r w:rsidRPr="00B77BB5">
        <w:t>Beperkte toegang tot de voordeligste energiecontracten (alleen online beschikbaar).</w:t>
      </w:r>
    </w:p>
    <w:p w14:paraId="7AB24453" w14:textId="11442E16" w:rsidR="003A21B0" w:rsidRPr="00B77BB5" w:rsidRDefault="003A21B0">
      <w:pPr>
        <w:numPr>
          <w:ilvl w:val="0"/>
          <w:numId w:val="6"/>
        </w:numPr>
        <w:jc w:val="both"/>
      </w:pPr>
      <w:r w:rsidRPr="00B77BB5">
        <w:t>Verborgen kosten tussen huurders (bijv. facturering voor verbruik tijdens leegstandsperiodes als de formulieren voor het wisselen van huurder niet zijn ondertekend).</w:t>
      </w:r>
    </w:p>
    <w:p w14:paraId="23F41B11" w14:textId="77777777" w:rsidR="003A21B0" w:rsidRPr="00B77BB5" w:rsidRDefault="003A21B0">
      <w:pPr>
        <w:numPr>
          <w:ilvl w:val="0"/>
          <w:numId w:val="6"/>
        </w:numPr>
        <w:jc w:val="both"/>
      </w:pPr>
      <w:r w:rsidRPr="00B77BB5">
        <w:t>Impact van huisvesting op de gezondheid en dus op de koopkracht.</w:t>
      </w:r>
    </w:p>
    <w:p w14:paraId="66BF18D7" w14:textId="77777777" w:rsidR="003A21B0" w:rsidRPr="00B77BB5" w:rsidRDefault="003A21B0">
      <w:pPr>
        <w:numPr>
          <w:ilvl w:val="0"/>
          <w:numId w:val="6"/>
        </w:numPr>
        <w:jc w:val="both"/>
      </w:pPr>
      <w:r w:rsidRPr="00B77BB5">
        <w:t>Geen betrouwbare gegevens over gemiddelde huurkosten.</w:t>
      </w:r>
    </w:p>
    <w:p w14:paraId="17349211" w14:textId="39BEE052" w:rsidR="00980E09" w:rsidRPr="00B77BB5" w:rsidRDefault="00980E09">
      <w:pPr>
        <w:numPr>
          <w:ilvl w:val="0"/>
          <w:numId w:val="6"/>
        </w:numPr>
        <w:jc w:val="both"/>
      </w:pPr>
      <w:r w:rsidRPr="00B77BB5">
        <w:t xml:space="preserve">De huizencrisis heeft een invloed op de koopkracht. De federale overheid is bevoegd voor het belasten van inkomen en huur. </w:t>
      </w:r>
    </w:p>
    <w:p w14:paraId="21F4DC50" w14:textId="69F53AD1" w:rsidR="005732AC" w:rsidRPr="00B77BB5" w:rsidRDefault="00241FA6">
      <w:pPr>
        <w:numPr>
          <w:ilvl w:val="0"/>
          <w:numId w:val="6"/>
        </w:numPr>
        <w:jc w:val="both"/>
      </w:pPr>
      <w:r w:rsidRPr="00B77BB5">
        <w:t xml:space="preserve">Met de energiebonus wordt niet hetzelfde niveau bereikt als de prijs per kW van het sociale tarief. </w:t>
      </w:r>
    </w:p>
    <w:p w14:paraId="11E1C1FB" w14:textId="60FFA1F9" w:rsidR="00BB508F" w:rsidRPr="00B77BB5" w:rsidRDefault="00BB508F">
      <w:pPr>
        <w:numPr>
          <w:ilvl w:val="0"/>
          <w:numId w:val="6"/>
        </w:numPr>
        <w:jc w:val="both"/>
      </w:pPr>
      <w:r w:rsidRPr="00B77BB5">
        <w:t>Huisvesting is een gedeelde bevoegdheid, geen toegeëigende.</w:t>
      </w:r>
    </w:p>
    <w:p w14:paraId="4C28DCC0" w14:textId="77777777" w:rsidR="003A21B0" w:rsidRPr="00B77BB5" w:rsidRDefault="003A21B0" w:rsidP="001319AD">
      <w:pPr>
        <w:jc w:val="both"/>
      </w:pPr>
      <w:r w:rsidRPr="00B77BB5">
        <w:rPr>
          <w:b/>
        </w:rPr>
        <w:t>Aanbevelingen:</w:t>
      </w:r>
    </w:p>
    <w:p w14:paraId="56A99A20" w14:textId="2D487777" w:rsidR="003A21B0" w:rsidRPr="00B77BB5" w:rsidRDefault="003A21B0">
      <w:pPr>
        <w:numPr>
          <w:ilvl w:val="0"/>
          <w:numId w:val="7"/>
        </w:numPr>
        <w:jc w:val="both"/>
      </w:pPr>
      <w:r w:rsidRPr="00B77BB5">
        <w:t>Het sociale energietarief behouden (of uitbreiden, met name voor ontvangers van hogere uitkeringen).</w:t>
      </w:r>
    </w:p>
    <w:p w14:paraId="438A9870" w14:textId="2FE06797" w:rsidR="003A21B0" w:rsidRPr="00B77BB5" w:rsidRDefault="003A21B0">
      <w:pPr>
        <w:numPr>
          <w:ilvl w:val="0"/>
          <w:numId w:val="7"/>
        </w:numPr>
        <w:jc w:val="both"/>
      </w:pPr>
      <w:r w:rsidRPr="00B77BB5">
        <w:t>Huurcontracten registreren en het ministerie van Financiën verantwoordelijk maken.</w:t>
      </w:r>
    </w:p>
    <w:p w14:paraId="3706E039" w14:textId="77777777" w:rsidR="003A21B0" w:rsidRPr="00B77BB5" w:rsidRDefault="003A21B0">
      <w:pPr>
        <w:numPr>
          <w:ilvl w:val="0"/>
          <w:numId w:val="7"/>
        </w:numPr>
        <w:jc w:val="both"/>
      </w:pPr>
      <w:r w:rsidRPr="00B77BB5">
        <w:t>Het innen van de huur via de Staat laten verlopen.</w:t>
      </w:r>
    </w:p>
    <w:p w14:paraId="1DD4B4E3" w14:textId="77777777" w:rsidR="003A21B0" w:rsidRPr="00B77BB5" w:rsidRDefault="003A21B0">
      <w:pPr>
        <w:numPr>
          <w:ilvl w:val="0"/>
          <w:numId w:val="7"/>
        </w:numPr>
        <w:jc w:val="both"/>
      </w:pPr>
      <w:r w:rsidRPr="00B77BB5">
        <w:t>Betaalbare, energie-efficiënte huisvesting bevorderen.</w:t>
      </w:r>
    </w:p>
    <w:p w14:paraId="042C3B90" w14:textId="439DB545" w:rsidR="003A21B0" w:rsidRPr="00B77BB5" w:rsidRDefault="003A21B0">
      <w:pPr>
        <w:numPr>
          <w:ilvl w:val="0"/>
          <w:numId w:val="7"/>
        </w:numPr>
        <w:jc w:val="both"/>
      </w:pPr>
      <w:r w:rsidRPr="00B77BB5">
        <w:t>Gerichte belasting op precaire huisvesting (bijvoorbeeld renovatie zonder explosie van de huurprijs voor de meest precaire woningen).</w:t>
      </w:r>
    </w:p>
    <w:p w14:paraId="19D08055" w14:textId="691B01E7" w:rsidR="005917C4" w:rsidRPr="00B77BB5" w:rsidRDefault="005917C4">
      <w:pPr>
        <w:numPr>
          <w:ilvl w:val="0"/>
          <w:numId w:val="7"/>
        </w:numPr>
        <w:jc w:val="both"/>
      </w:pPr>
      <w:r w:rsidRPr="00B77BB5">
        <w:t>Energiewoningvoorraad: de lange termijn financieren met behoud van de korte termijn, terwijl de lange termijn effect sorteert.</w:t>
      </w:r>
    </w:p>
    <w:p w14:paraId="2FF5C7A6" w14:textId="77777777" w:rsidR="003A21B0" w:rsidRPr="00B77BB5" w:rsidRDefault="003A21B0">
      <w:pPr>
        <w:numPr>
          <w:ilvl w:val="0"/>
          <w:numId w:val="7"/>
        </w:numPr>
        <w:jc w:val="both"/>
      </w:pPr>
      <w:r w:rsidRPr="00B77BB5">
        <w:t>Winteropvang handhaven.</w:t>
      </w:r>
    </w:p>
    <w:p w14:paraId="7F3F279F" w14:textId="0B8BEEA3" w:rsidR="00D72BA5" w:rsidRPr="00B77BB5" w:rsidRDefault="00D72BA5">
      <w:pPr>
        <w:numPr>
          <w:ilvl w:val="0"/>
          <w:numId w:val="7"/>
        </w:numPr>
        <w:jc w:val="both"/>
      </w:pPr>
      <w:r w:rsidRPr="00B77BB5">
        <w:t>Gratis openbare diensten, met name gezondheidsdiensten, opnieuw bevestigen.</w:t>
      </w:r>
    </w:p>
    <w:p w14:paraId="1C38C752" w14:textId="2CD1EAA4" w:rsidR="00BB508F" w:rsidRPr="00B77BB5" w:rsidRDefault="00BB508F" w:rsidP="001319AD">
      <w:pPr>
        <w:jc w:val="both"/>
      </w:pPr>
    </w:p>
    <w:p w14:paraId="3CEDBEAC" w14:textId="77777777" w:rsidR="00804828" w:rsidRPr="00B77BB5" w:rsidRDefault="00804828" w:rsidP="001319AD">
      <w:pPr>
        <w:jc w:val="both"/>
        <w:rPr>
          <w:b/>
          <w:bCs/>
        </w:rPr>
      </w:pPr>
    </w:p>
    <w:p w14:paraId="59DC95BF" w14:textId="7E69A89C" w:rsidR="00804828" w:rsidRPr="00B77BB5" w:rsidRDefault="003A21B0">
      <w:pPr>
        <w:pStyle w:val="ListParagraph"/>
        <w:numPr>
          <w:ilvl w:val="0"/>
          <w:numId w:val="20"/>
        </w:numPr>
        <w:jc w:val="both"/>
        <w:rPr>
          <w:b/>
          <w:bCs/>
        </w:rPr>
      </w:pPr>
      <w:r w:rsidRPr="00B77BB5">
        <w:rPr>
          <w:b/>
        </w:rPr>
        <w:t>Administratie en procedures</w:t>
      </w:r>
    </w:p>
    <w:p w14:paraId="244D44E0" w14:textId="293E6605" w:rsidR="003A21B0" w:rsidRPr="00B77BB5" w:rsidRDefault="003A21B0" w:rsidP="001319AD">
      <w:pPr>
        <w:jc w:val="both"/>
        <w:rPr>
          <w:b/>
          <w:bCs/>
        </w:rPr>
      </w:pPr>
      <w:r w:rsidRPr="00B77BB5">
        <w:rPr>
          <w:b/>
        </w:rPr>
        <w:t>Vaststellingen:</w:t>
      </w:r>
    </w:p>
    <w:p w14:paraId="43581B2C" w14:textId="77777777" w:rsidR="003A21B0" w:rsidRPr="00B77BB5" w:rsidRDefault="003A21B0">
      <w:pPr>
        <w:numPr>
          <w:ilvl w:val="0"/>
          <w:numId w:val="8"/>
        </w:numPr>
        <w:jc w:val="both"/>
      </w:pPr>
      <w:r w:rsidRPr="00B77BB5">
        <w:t>Administratieve rompslomp bij de OCMW's.</w:t>
      </w:r>
    </w:p>
    <w:p w14:paraId="261730A4" w14:textId="2D25F5EA" w:rsidR="003A21B0" w:rsidRPr="00B77BB5" w:rsidRDefault="00005004">
      <w:pPr>
        <w:numPr>
          <w:ilvl w:val="0"/>
          <w:numId w:val="8"/>
        </w:numPr>
        <w:jc w:val="both"/>
      </w:pPr>
      <w:r w:rsidRPr="00B77BB5">
        <w:t>Bereidheid om procedures voor niet-betwiste schulden te versnellen -&gt; kortere gerechtelijke beslissingen.</w:t>
      </w:r>
    </w:p>
    <w:p w14:paraId="62B1CC42" w14:textId="77777777" w:rsidR="003A21B0" w:rsidRPr="00B77BB5" w:rsidRDefault="003A21B0">
      <w:pPr>
        <w:numPr>
          <w:ilvl w:val="0"/>
          <w:numId w:val="8"/>
        </w:numPr>
        <w:jc w:val="both"/>
      </w:pPr>
      <w:r w:rsidRPr="00B77BB5">
        <w:t>Moeilijkheden met de toepassing van het wetboek van economisch recht om consumenten te beschermen.</w:t>
      </w:r>
    </w:p>
    <w:p w14:paraId="59F5E128" w14:textId="77777777" w:rsidR="003A21B0" w:rsidRPr="00B77BB5" w:rsidRDefault="003A21B0" w:rsidP="001319AD">
      <w:pPr>
        <w:jc w:val="both"/>
      </w:pPr>
      <w:r w:rsidRPr="00B77BB5">
        <w:rPr>
          <w:b/>
        </w:rPr>
        <w:t>Aanbevelingen:</w:t>
      </w:r>
    </w:p>
    <w:p w14:paraId="48CBABEC" w14:textId="77777777" w:rsidR="003A21B0" w:rsidRPr="00B77BB5" w:rsidRDefault="003A21B0">
      <w:pPr>
        <w:numPr>
          <w:ilvl w:val="0"/>
          <w:numId w:val="9"/>
        </w:numPr>
        <w:jc w:val="both"/>
      </w:pPr>
      <w:r w:rsidRPr="00B77BB5">
        <w:lastRenderedPageBreak/>
        <w:t>De administratieve last voor sociale diensten verminderen.</w:t>
      </w:r>
    </w:p>
    <w:p w14:paraId="488F6842" w14:textId="330B4C4F" w:rsidR="003A21B0" w:rsidRPr="00B77BB5" w:rsidRDefault="003A21B0">
      <w:pPr>
        <w:numPr>
          <w:ilvl w:val="0"/>
          <w:numId w:val="9"/>
        </w:numPr>
        <w:jc w:val="both"/>
      </w:pPr>
      <w:r w:rsidRPr="00B77BB5">
        <w:t>Het statuut van het economisch wetboek verduidelijken en garanderen dat het voorrang geniet wanneer het gunstig is voor de consument.</w:t>
      </w:r>
    </w:p>
    <w:p w14:paraId="409F788E" w14:textId="77777777" w:rsidR="003A21B0" w:rsidRPr="00B77BB5" w:rsidRDefault="003A21B0">
      <w:pPr>
        <w:numPr>
          <w:ilvl w:val="0"/>
          <w:numId w:val="9"/>
        </w:numPr>
        <w:jc w:val="both"/>
      </w:pPr>
      <w:r w:rsidRPr="00B77BB5">
        <w:t>Een proactieve dienst ontwikkelen voor informatie en automatische toewijzing van rechten.</w:t>
      </w:r>
    </w:p>
    <w:p w14:paraId="48D750CF" w14:textId="620EE41A" w:rsidR="00EE3288" w:rsidRPr="00B77BB5" w:rsidRDefault="00EE3288">
      <w:pPr>
        <w:numPr>
          <w:ilvl w:val="0"/>
          <w:numId w:val="9"/>
        </w:numPr>
        <w:jc w:val="both"/>
      </w:pPr>
      <w:r w:rsidRPr="00B77BB5">
        <w:t>Regelmatiger ervaringsdeskundigen raadplegen</w:t>
      </w:r>
    </w:p>
    <w:p w14:paraId="28D0F9B7" w14:textId="24CE7059" w:rsidR="001F0A1E" w:rsidRPr="00B77BB5" w:rsidRDefault="001F0A1E">
      <w:pPr>
        <w:numPr>
          <w:ilvl w:val="0"/>
          <w:numId w:val="9"/>
        </w:numPr>
        <w:jc w:val="both"/>
      </w:pPr>
      <w:r w:rsidRPr="00B77BB5">
        <w:t>Het beheer van invaliditeitsdossiers moet hetzelfde zijn, ongeacht het gewest.</w:t>
      </w:r>
    </w:p>
    <w:p w14:paraId="0751176E" w14:textId="52296B33" w:rsidR="00E05C12" w:rsidRPr="00B77BB5" w:rsidRDefault="00E05C12">
      <w:pPr>
        <w:numPr>
          <w:ilvl w:val="0"/>
          <w:numId w:val="9"/>
        </w:numPr>
        <w:jc w:val="both"/>
      </w:pPr>
      <w:r w:rsidRPr="00B77BB5">
        <w:t>Jaarlijks overleg met mensen die in armoede leven.</w:t>
      </w:r>
    </w:p>
    <w:p w14:paraId="2288BA73" w14:textId="77777777" w:rsidR="00804828" w:rsidRPr="00B77BB5" w:rsidRDefault="00804828" w:rsidP="001319AD">
      <w:pPr>
        <w:jc w:val="both"/>
        <w:rPr>
          <w:b/>
          <w:bCs/>
        </w:rPr>
      </w:pPr>
    </w:p>
    <w:p w14:paraId="21193F73" w14:textId="60A3ED9A" w:rsidR="00804828" w:rsidRPr="00B77BB5" w:rsidRDefault="003A21B0">
      <w:pPr>
        <w:pStyle w:val="ListParagraph"/>
        <w:numPr>
          <w:ilvl w:val="0"/>
          <w:numId w:val="20"/>
        </w:numPr>
        <w:jc w:val="both"/>
        <w:rPr>
          <w:b/>
          <w:bCs/>
        </w:rPr>
      </w:pPr>
      <w:r w:rsidRPr="00B77BB5">
        <w:rPr>
          <w:b/>
        </w:rPr>
        <w:t>Koopkracht en consumptie</w:t>
      </w:r>
    </w:p>
    <w:p w14:paraId="061FB454" w14:textId="277726D3" w:rsidR="003A21B0" w:rsidRPr="00B77BB5" w:rsidRDefault="003A21B0" w:rsidP="001319AD">
      <w:pPr>
        <w:jc w:val="both"/>
        <w:rPr>
          <w:b/>
          <w:bCs/>
        </w:rPr>
      </w:pPr>
      <w:r w:rsidRPr="00B77BB5">
        <w:rPr>
          <w:b/>
        </w:rPr>
        <w:t>Vaststellingen:</w:t>
      </w:r>
    </w:p>
    <w:p w14:paraId="2482131C" w14:textId="77777777" w:rsidR="000501EE" w:rsidRPr="00B77BB5" w:rsidRDefault="003A21B0">
      <w:pPr>
        <w:numPr>
          <w:ilvl w:val="0"/>
          <w:numId w:val="10"/>
        </w:numPr>
        <w:jc w:val="both"/>
      </w:pPr>
      <w:r w:rsidRPr="00B77BB5">
        <w:t xml:space="preserve">De koopkracht bepaalt de toegang tot kwaliteitsvoeding naar keuze. </w:t>
      </w:r>
    </w:p>
    <w:p w14:paraId="0955ACCC" w14:textId="6E7998B9" w:rsidR="003A21B0" w:rsidRPr="00B77BB5" w:rsidRDefault="00C02838">
      <w:pPr>
        <w:numPr>
          <w:ilvl w:val="0"/>
          <w:numId w:val="10"/>
        </w:numPr>
        <w:jc w:val="both"/>
      </w:pPr>
      <w:r w:rsidRPr="00B77BB5">
        <w:t xml:space="preserve">Er zijn nieuwe richtlijnen van de WHO gepubliceerd. Voedselhulp (pakketten) bieden echter weinig verse groenten en fruit en bestaan vaak uit voedseloverschotten en donaties van liefdadigheidsinstellingen. </w:t>
      </w:r>
    </w:p>
    <w:p w14:paraId="17DB31C3" w14:textId="39CF17E5" w:rsidR="00F04011" w:rsidRPr="00B77BB5" w:rsidRDefault="00F04011">
      <w:pPr>
        <w:numPr>
          <w:ilvl w:val="0"/>
          <w:numId w:val="10"/>
        </w:numPr>
        <w:jc w:val="both"/>
      </w:pPr>
      <w:r w:rsidRPr="00B77BB5">
        <w:t>De koopkracht bepaalt de toegang tot gezondheidszorg. De overbevolking van spoedafdelingen wordt deels veroorzaakt door het aantal mensen dat niet naar de huisarts gaat om de rekening niet meteen te hoeven betalen.</w:t>
      </w:r>
    </w:p>
    <w:p w14:paraId="36D2BD04" w14:textId="77777777" w:rsidR="003A21B0" w:rsidRPr="00B77BB5" w:rsidRDefault="003A21B0">
      <w:pPr>
        <w:numPr>
          <w:ilvl w:val="0"/>
          <w:numId w:val="10"/>
        </w:numPr>
        <w:jc w:val="both"/>
      </w:pPr>
      <w:r w:rsidRPr="00B77BB5">
        <w:t>Aankopen in grote hoeveelheden biedt voordelen die onbereikbaar zijn voor wie een klein budget heeft.</w:t>
      </w:r>
    </w:p>
    <w:p w14:paraId="711E1262" w14:textId="241FC504" w:rsidR="004B466B" w:rsidRPr="00B77BB5" w:rsidRDefault="004B466B">
      <w:pPr>
        <w:numPr>
          <w:ilvl w:val="0"/>
          <w:numId w:val="10"/>
        </w:numPr>
        <w:jc w:val="both"/>
      </w:pPr>
      <w:r w:rsidRPr="00B77BB5">
        <w:t xml:space="preserve">Online aankopen zijn vaak goedkoper (bijv. NMBS-tickets). </w:t>
      </w:r>
    </w:p>
    <w:p w14:paraId="4DAA110D" w14:textId="77777777" w:rsidR="003A21B0" w:rsidRPr="00B77BB5" w:rsidRDefault="003A21B0">
      <w:pPr>
        <w:numPr>
          <w:ilvl w:val="0"/>
          <w:numId w:val="10"/>
        </w:numPr>
        <w:jc w:val="both"/>
      </w:pPr>
      <w:r w:rsidRPr="00B77BB5">
        <w:t>Het opnemen van consumentenkrediet verhoogt het risico op een te hoge schuldenlast.</w:t>
      </w:r>
    </w:p>
    <w:p w14:paraId="475B4F3F" w14:textId="428138D3" w:rsidR="00D56A9E" w:rsidRPr="00B77BB5" w:rsidRDefault="00D56A9E">
      <w:pPr>
        <w:numPr>
          <w:ilvl w:val="0"/>
          <w:numId w:val="10"/>
        </w:numPr>
        <w:jc w:val="both"/>
      </w:pPr>
      <w:r w:rsidRPr="00B77BB5">
        <w:t>Federale verantwoordelijkheid bij het adverteren van kredieten/leningen.</w:t>
      </w:r>
    </w:p>
    <w:p w14:paraId="105D0E52" w14:textId="77C6D1B8" w:rsidR="003A21B0" w:rsidRPr="00B77BB5" w:rsidRDefault="003A21B0">
      <w:pPr>
        <w:numPr>
          <w:ilvl w:val="0"/>
          <w:numId w:val="10"/>
        </w:numPr>
        <w:jc w:val="both"/>
      </w:pPr>
      <w:r w:rsidRPr="00B77BB5">
        <w:t>De term "koopkracht" kan misleidend zijn: we stellen voor om de term "leefkracht" te gebruiken.</w:t>
      </w:r>
    </w:p>
    <w:p w14:paraId="20E344FE" w14:textId="3E463E4F" w:rsidR="00804828" w:rsidRPr="00B77BB5" w:rsidRDefault="00804828">
      <w:pPr>
        <w:numPr>
          <w:ilvl w:val="0"/>
          <w:numId w:val="10"/>
        </w:numPr>
        <w:jc w:val="both"/>
      </w:pPr>
      <w:r w:rsidRPr="00B77BB5">
        <w:t xml:space="preserve">Geplande btw-verhoging (van 9% naar 21%) op cultuurgoederen. </w:t>
      </w:r>
    </w:p>
    <w:p w14:paraId="212DCF24" w14:textId="77777777" w:rsidR="00804828" w:rsidRPr="00B77BB5" w:rsidRDefault="00804828" w:rsidP="001319AD">
      <w:pPr>
        <w:ind w:left="720"/>
        <w:jc w:val="both"/>
      </w:pPr>
    </w:p>
    <w:p w14:paraId="5CFB1729" w14:textId="77777777" w:rsidR="003A21B0" w:rsidRPr="00B77BB5" w:rsidRDefault="003A21B0" w:rsidP="001319AD">
      <w:pPr>
        <w:jc w:val="both"/>
      </w:pPr>
      <w:r w:rsidRPr="00B77BB5">
        <w:rPr>
          <w:b/>
        </w:rPr>
        <w:t>Aanbevelingen:</w:t>
      </w:r>
    </w:p>
    <w:p w14:paraId="055B1389" w14:textId="77777777" w:rsidR="00EE3288" w:rsidRPr="00B77BB5" w:rsidRDefault="00EE3288">
      <w:pPr>
        <w:numPr>
          <w:ilvl w:val="0"/>
          <w:numId w:val="11"/>
        </w:numPr>
        <w:jc w:val="both"/>
      </w:pPr>
      <w:r w:rsidRPr="00B77BB5">
        <w:t>Minimale btw op essentiële producten en prijsregulering voor essentiële goederen.</w:t>
      </w:r>
    </w:p>
    <w:p w14:paraId="27B462A7" w14:textId="77777777" w:rsidR="003A21B0" w:rsidRPr="00B77BB5" w:rsidRDefault="003A21B0">
      <w:pPr>
        <w:numPr>
          <w:ilvl w:val="0"/>
          <w:numId w:val="11"/>
        </w:numPr>
        <w:jc w:val="both"/>
      </w:pPr>
      <w:r w:rsidRPr="00B77BB5">
        <w:t>Reclame voor consumentenkrediet controleren.</w:t>
      </w:r>
    </w:p>
    <w:p w14:paraId="4E396394" w14:textId="77777777" w:rsidR="003A21B0" w:rsidRPr="00B77BB5" w:rsidRDefault="003A21B0">
      <w:pPr>
        <w:numPr>
          <w:ilvl w:val="0"/>
          <w:numId w:val="11"/>
        </w:numPr>
        <w:jc w:val="both"/>
      </w:pPr>
      <w:r w:rsidRPr="00B77BB5">
        <w:t>Een andere terminologie gebruiken om beter rekening te houden met essentiële behoeften.</w:t>
      </w:r>
    </w:p>
    <w:p w14:paraId="1E660DF4" w14:textId="5C374152" w:rsidR="00804828" w:rsidRPr="00B77BB5" w:rsidRDefault="00804828">
      <w:pPr>
        <w:numPr>
          <w:ilvl w:val="0"/>
          <w:numId w:val="11"/>
        </w:numPr>
        <w:jc w:val="both"/>
      </w:pPr>
      <w:r w:rsidRPr="00B77BB5">
        <w:t>De verhoging van de btw op culturele goederen opnieuw overwegen in de context van de afschaffing van het fonds voor participatie en sociale activering.</w:t>
      </w:r>
    </w:p>
    <w:p w14:paraId="545CEADF" w14:textId="0C03A3AE" w:rsidR="008A18A9" w:rsidRPr="00B77BB5" w:rsidRDefault="008A18A9">
      <w:pPr>
        <w:numPr>
          <w:ilvl w:val="0"/>
          <w:numId w:val="11"/>
        </w:numPr>
        <w:jc w:val="both"/>
      </w:pPr>
      <w:r w:rsidRPr="00B77BB5">
        <w:t>Toeslagen verbieden voor diensten/producten die niet online worden gekocht.</w:t>
      </w:r>
    </w:p>
    <w:p w14:paraId="177FEC4F" w14:textId="77777777" w:rsidR="00804828" w:rsidRPr="00B77BB5" w:rsidRDefault="00804828" w:rsidP="001319AD">
      <w:pPr>
        <w:pStyle w:val="ListParagraph"/>
        <w:jc w:val="both"/>
        <w:rPr>
          <w:b/>
          <w:bCs/>
        </w:rPr>
      </w:pPr>
    </w:p>
    <w:p w14:paraId="2841488C" w14:textId="64E74647" w:rsidR="00804828" w:rsidRPr="00B77BB5" w:rsidRDefault="003A21B0">
      <w:pPr>
        <w:pStyle w:val="ListParagraph"/>
        <w:numPr>
          <w:ilvl w:val="0"/>
          <w:numId w:val="20"/>
        </w:numPr>
        <w:jc w:val="both"/>
        <w:rPr>
          <w:b/>
          <w:bCs/>
        </w:rPr>
      </w:pPr>
      <w:r w:rsidRPr="00B77BB5">
        <w:rPr>
          <w:b/>
        </w:rPr>
        <w:lastRenderedPageBreak/>
        <w:t>Onderwijs en jeugd</w:t>
      </w:r>
    </w:p>
    <w:p w14:paraId="513B2467" w14:textId="3B543350" w:rsidR="003A21B0" w:rsidRPr="00B77BB5" w:rsidRDefault="003A21B0" w:rsidP="001319AD">
      <w:pPr>
        <w:jc w:val="both"/>
        <w:rPr>
          <w:b/>
          <w:bCs/>
        </w:rPr>
      </w:pPr>
      <w:r w:rsidRPr="00B77BB5">
        <w:rPr>
          <w:b/>
        </w:rPr>
        <w:t>Vaststellingen:</w:t>
      </w:r>
    </w:p>
    <w:p w14:paraId="64F05217" w14:textId="77777777" w:rsidR="003A21B0" w:rsidRPr="00B77BB5" w:rsidRDefault="003A21B0">
      <w:pPr>
        <w:numPr>
          <w:ilvl w:val="0"/>
          <w:numId w:val="12"/>
        </w:numPr>
        <w:jc w:val="both"/>
      </w:pPr>
      <w:r w:rsidRPr="00B77BB5">
        <w:t>Moeilijkheden voor jongeren met een chronische ziekte om toegang te krijgen tot hulp.</w:t>
      </w:r>
    </w:p>
    <w:p w14:paraId="728A31EA" w14:textId="77777777" w:rsidR="003A21B0" w:rsidRPr="00B77BB5" w:rsidRDefault="003A21B0">
      <w:pPr>
        <w:numPr>
          <w:ilvl w:val="0"/>
          <w:numId w:val="12"/>
        </w:numPr>
        <w:jc w:val="both"/>
      </w:pPr>
      <w:r w:rsidRPr="00B77BB5">
        <w:t>Het risico bestaat dat het OCMW studenten ertoe aanzet om te werken ten koste van hun studies.</w:t>
      </w:r>
    </w:p>
    <w:p w14:paraId="3AA9DDFC" w14:textId="77777777" w:rsidR="003A21B0" w:rsidRPr="00B77BB5" w:rsidRDefault="003A21B0" w:rsidP="001319AD">
      <w:pPr>
        <w:jc w:val="both"/>
      </w:pPr>
      <w:r w:rsidRPr="00B77BB5">
        <w:rPr>
          <w:b/>
        </w:rPr>
        <w:t>Aanbevelingen:</w:t>
      </w:r>
    </w:p>
    <w:p w14:paraId="21B5EFAE" w14:textId="77777777" w:rsidR="003A21B0" w:rsidRPr="00B77BB5" w:rsidRDefault="003A21B0">
      <w:pPr>
        <w:numPr>
          <w:ilvl w:val="0"/>
          <w:numId w:val="13"/>
        </w:numPr>
        <w:jc w:val="both"/>
      </w:pPr>
      <w:r w:rsidRPr="00B77BB5">
        <w:t>Een leefloon en toeslagen toekennen aan studenten zonder compensatie.</w:t>
      </w:r>
    </w:p>
    <w:p w14:paraId="5BB8A599" w14:textId="77777777" w:rsidR="003A21B0" w:rsidRPr="00B77BB5" w:rsidRDefault="003A21B0">
      <w:pPr>
        <w:numPr>
          <w:ilvl w:val="0"/>
          <w:numId w:val="13"/>
        </w:numPr>
        <w:jc w:val="both"/>
      </w:pPr>
      <w:r w:rsidRPr="00B77BB5">
        <w:t>Toeslagen voor hoger onderwijs handhaven.</w:t>
      </w:r>
    </w:p>
    <w:p w14:paraId="16FD8C3A" w14:textId="77777777" w:rsidR="00804828" w:rsidRPr="00B77BB5" w:rsidRDefault="00804828" w:rsidP="001319AD">
      <w:pPr>
        <w:jc w:val="both"/>
        <w:rPr>
          <w:b/>
          <w:bCs/>
        </w:rPr>
      </w:pPr>
    </w:p>
    <w:p w14:paraId="55B5D20C" w14:textId="33017F2A" w:rsidR="003A21B0" w:rsidRPr="00B77BB5" w:rsidRDefault="00804828">
      <w:pPr>
        <w:pStyle w:val="ListParagraph"/>
        <w:numPr>
          <w:ilvl w:val="0"/>
          <w:numId w:val="20"/>
        </w:numPr>
        <w:jc w:val="both"/>
        <w:rPr>
          <w:b/>
          <w:bCs/>
        </w:rPr>
      </w:pPr>
      <w:r w:rsidRPr="00B77BB5">
        <w:rPr>
          <w:b/>
        </w:rPr>
        <w:t xml:space="preserve">Varia </w:t>
      </w:r>
    </w:p>
    <w:p w14:paraId="6094F29C" w14:textId="01F53AF2" w:rsidR="00804828" w:rsidRPr="00B77BB5" w:rsidRDefault="003A21B0">
      <w:pPr>
        <w:numPr>
          <w:ilvl w:val="0"/>
          <w:numId w:val="14"/>
        </w:numPr>
        <w:jc w:val="both"/>
      </w:pPr>
      <w:r w:rsidRPr="00B77BB5">
        <w:t>Structurele ongelijkheden (volgens kwalificaties en sociaal statuut) in sociale voordelen (maaltijdcheques, ecocheques, bonussen enzovoort) corrigeren.</w:t>
      </w:r>
    </w:p>
    <w:p w14:paraId="288DD393" w14:textId="7F511F53" w:rsidR="003A21B0" w:rsidRPr="00B77BB5" w:rsidRDefault="00804828">
      <w:pPr>
        <w:numPr>
          <w:ilvl w:val="0"/>
          <w:numId w:val="15"/>
        </w:numPr>
        <w:jc w:val="both"/>
      </w:pPr>
      <w:r w:rsidRPr="00B77BB5">
        <w:t>De wet op landloperij roept vragen op -&gt; De wet op landloperij intrekken of wijzigen.</w:t>
      </w:r>
    </w:p>
    <w:p w14:paraId="0A5C2938" w14:textId="1C9943B7" w:rsidR="003A21B0" w:rsidRPr="00B77BB5" w:rsidRDefault="003A21B0">
      <w:pPr>
        <w:numPr>
          <w:ilvl w:val="0"/>
          <w:numId w:val="16"/>
        </w:numPr>
        <w:jc w:val="both"/>
      </w:pPr>
      <w:r w:rsidRPr="00B77BB5">
        <w:t>Het is moeilijk om aan de Europese ecologische eisen te voldoen -&gt; Financiering van de overgang op een manier die de meest kwetsbaren niet benadeelt.</w:t>
      </w:r>
    </w:p>
    <w:p w14:paraId="51707BAC" w14:textId="771E5C75" w:rsidR="003A21B0" w:rsidRPr="00B77BB5" w:rsidRDefault="003A21B0">
      <w:pPr>
        <w:numPr>
          <w:ilvl w:val="0"/>
          <w:numId w:val="17"/>
        </w:numPr>
        <w:jc w:val="both"/>
      </w:pPr>
      <w:r w:rsidRPr="00B77BB5">
        <w:t>Deelname aan het sociale leven is een erkende hefboom in de strijd tegen armoede -&gt; De mechanismen voor deelname van de betrokken personen versterken.</w:t>
      </w:r>
    </w:p>
    <w:p w14:paraId="63456400" w14:textId="214DD5EA" w:rsidR="003A21B0" w:rsidRPr="00B77BB5" w:rsidRDefault="003A21B0">
      <w:pPr>
        <w:numPr>
          <w:ilvl w:val="0"/>
          <w:numId w:val="18"/>
        </w:numPr>
        <w:jc w:val="both"/>
      </w:pPr>
      <w:r w:rsidRPr="00B77BB5">
        <w:t>Bewustmakingscampagnes over de sterke punten van achtergestelde groepen.</w:t>
      </w:r>
    </w:p>
    <w:p w14:paraId="4861362B" w14:textId="2A7C88C1" w:rsidR="00804828" w:rsidRPr="00B77BB5" w:rsidRDefault="003A21B0">
      <w:pPr>
        <w:numPr>
          <w:ilvl w:val="0"/>
          <w:numId w:val="19"/>
        </w:numPr>
        <w:jc w:val="both"/>
      </w:pPr>
      <w:r w:rsidRPr="00B77BB5">
        <w:t>Ongelijkheden in het systeem van ecologische premies voor elektrische voertuigen. -&gt; Het systeem hervormen om het eerlijker te maken. In plaats van premies te geven voor elektrische auto's, zouden er investeringen moeten komen in openbaar vervoer - via het Sociaal Klimaatfonds. Het gaat niet alleen om de energietransitie, maar ook om energiegelijkheid.</w:t>
      </w:r>
    </w:p>
    <w:p w14:paraId="32CD2156" w14:textId="020657C1" w:rsidR="003A21B0" w:rsidRPr="00B77BB5" w:rsidRDefault="003A21B0">
      <w:pPr>
        <w:numPr>
          <w:ilvl w:val="0"/>
          <w:numId w:val="19"/>
        </w:numPr>
        <w:jc w:val="both"/>
      </w:pPr>
      <w:r w:rsidRPr="00B77BB5">
        <w:t>De toegang tot kinderopvang verbeteren, ongeacht de beroepssituatie van de ouders.</w:t>
      </w:r>
    </w:p>
    <w:p w14:paraId="2EF3DE5E" w14:textId="4F0860DF" w:rsidR="00997670" w:rsidRPr="00B77BB5" w:rsidRDefault="00997670">
      <w:pPr>
        <w:numPr>
          <w:ilvl w:val="0"/>
          <w:numId w:val="19"/>
        </w:numPr>
        <w:jc w:val="both"/>
      </w:pPr>
      <w:r w:rsidRPr="00B77BB5">
        <w:t>Overmatige schuldenlast: afschaffen van deurwaarderskosten om schulden af te betalen.</w:t>
      </w:r>
    </w:p>
    <w:p w14:paraId="04007021" w14:textId="77777777" w:rsidR="00454F7F" w:rsidRPr="00B77BB5" w:rsidRDefault="00454F7F">
      <w:pPr>
        <w:pStyle w:val="ListParagraph"/>
        <w:numPr>
          <w:ilvl w:val="0"/>
          <w:numId w:val="19"/>
        </w:numPr>
        <w:jc w:val="both"/>
      </w:pPr>
      <w:r w:rsidRPr="00B77BB5">
        <w:t>Beschikbaarheid van kinderopvang. Toegankelijk maken voor alle moeders, of ze nu werken of niet.</w:t>
      </w:r>
    </w:p>
    <w:p w14:paraId="14A24BF7" w14:textId="46B065EB" w:rsidR="000C2E33" w:rsidRPr="00B77BB5" w:rsidRDefault="000C2E33" w:rsidP="001319AD">
      <w:pPr>
        <w:tabs>
          <w:tab w:val="left" w:pos="2580"/>
        </w:tabs>
        <w:ind w:left="360"/>
        <w:jc w:val="both"/>
      </w:pPr>
    </w:p>
    <w:p w14:paraId="31757B3E" w14:textId="77777777" w:rsidR="003A21B0" w:rsidRPr="00B77BB5" w:rsidRDefault="003A21B0" w:rsidP="001319AD">
      <w:pPr>
        <w:jc w:val="both"/>
      </w:pPr>
    </w:p>
    <w:p w14:paraId="188538CF" w14:textId="77777777" w:rsidR="00BC6C9E" w:rsidRPr="00B77BB5" w:rsidRDefault="00BC6C9E" w:rsidP="001319AD">
      <w:pPr>
        <w:jc w:val="both"/>
      </w:pPr>
    </w:p>
    <w:p w14:paraId="56FF7BCC" w14:textId="103DB94A" w:rsidR="00BC6C9E" w:rsidRPr="00454F7F" w:rsidRDefault="00BC6C9E" w:rsidP="001319AD">
      <w:pPr>
        <w:jc w:val="both"/>
        <w:rPr>
          <w:b/>
          <w:bCs/>
        </w:rPr>
      </w:pPr>
    </w:p>
    <w:sectPr w:rsidR="00BC6C9E" w:rsidRPr="00454F7F" w:rsidSect="008C5014">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449E" w14:textId="77777777" w:rsidR="004C52BC" w:rsidRPr="00B77BB5" w:rsidRDefault="004C52BC" w:rsidP="008C5014">
      <w:pPr>
        <w:spacing w:after="0" w:line="240" w:lineRule="auto"/>
      </w:pPr>
      <w:r w:rsidRPr="00B77BB5">
        <w:separator/>
      </w:r>
    </w:p>
  </w:endnote>
  <w:endnote w:type="continuationSeparator" w:id="0">
    <w:p w14:paraId="432DDF24" w14:textId="77777777" w:rsidR="004C52BC" w:rsidRPr="00B77BB5" w:rsidRDefault="004C52BC" w:rsidP="008C5014">
      <w:pPr>
        <w:spacing w:after="0" w:line="240" w:lineRule="auto"/>
      </w:pPr>
      <w:r w:rsidRPr="00B77B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468583260"/>
      <w:docPartObj>
        <w:docPartGallery w:val="Page Numbers (Bottom of Page)"/>
        <w:docPartUnique/>
      </w:docPartObj>
    </w:sdtPr>
    <w:sdtContent>
      <w:p w14:paraId="6EF0B32C" w14:textId="77777777" w:rsidR="00B530E6" w:rsidRPr="00B77BB5" w:rsidRDefault="0062271E">
        <w:pPr>
          <w:pStyle w:val="Footer"/>
          <w:rPr>
            <w:color w:val="808080" w:themeColor="background1" w:themeShade="80"/>
          </w:rPr>
        </w:pPr>
        <w:r w:rsidRPr="00B77BB5">
          <w:rPr>
            <w:color w:val="808080" w:themeColor="background1" w:themeShade="80"/>
          </w:rPr>
          <w:fldChar w:fldCharType="begin"/>
        </w:r>
        <w:r w:rsidRPr="00B77BB5">
          <w:rPr>
            <w:color w:val="808080" w:themeColor="background1" w:themeShade="80"/>
          </w:rPr>
          <w:instrText xml:space="preserve"> PAGE   \* MERGEFORMAT </w:instrText>
        </w:r>
        <w:r w:rsidRPr="00B77BB5">
          <w:rPr>
            <w:color w:val="808080" w:themeColor="background1" w:themeShade="80"/>
          </w:rPr>
          <w:fldChar w:fldCharType="separate"/>
        </w:r>
        <w:r w:rsidRPr="00B77BB5">
          <w:rPr>
            <w:color w:val="808080" w:themeColor="background1" w:themeShade="80"/>
          </w:rPr>
          <w:t>2</w:t>
        </w:r>
        <w:r w:rsidRPr="00B77BB5">
          <w:rPr>
            <w:color w:val="808080" w:themeColor="background1" w:themeShade="80"/>
          </w:rPr>
          <w:fldChar w:fldCharType="end"/>
        </w:r>
        <w:r w:rsidRPr="00B77BB5">
          <w:rPr>
            <w:color w:val="808080" w:themeColor="background1" w:themeShade="8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602233"/>
      <w:docPartObj>
        <w:docPartGallery w:val="Page Numbers (Bottom of Page)"/>
        <w:docPartUnique/>
      </w:docPartObj>
    </w:sdtPr>
    <w:sdtContent>
      <w:p w14:paraId="3359B498" w14:textId="77777777" w:rsidR="00B530E6" w:rsidRPr="00B77BB5" w:rsidRDefault="009951A7">
        <w:pPr>
          <w:pStyle w:val="Footer"/>
        </w:pPr>
        <w:r w:rsidRPr="00B77BB5">
          <w:fldChar w:fldCharType="begin"/>
        </w:r>
        <w:r w:rsidRPr="00B77BB5">
          <w:instrText xml:space="preserve"> PAGE   \* MERGEFORMAT </w:instrText>
        </w:r>
        <w:r w:rsidRPr="00B77BB5">
          <w:fldChar w:fldCharType="separate"/>
        </w:r>
        <w:r w:rsidRPr="00B77BB5">
          <w:t>2</w:t>
        </w:r>
        <w:r w:rsidRPr="00B77B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768CB" w14:textId="77777777" w:rsidR="004C52BC" w:rsidRPr="00B77BB5" w:rsidRDefault="004C52BC" w:rsidP="008C5014">
      <w:pPr>
        <w:spacing w:after="0" w:line="240" w:lineRule="auto"/>
      </w:pPr>
      <w:r w:rsidRPr="00B77BB5">
        <w:separator/>
      </w:r>
    </w:p>
  </w:footnote>
  <w:footnote w:type="continuationSeparator" w:id="0">
    <w:p w14:paraId="58CCF7B7" w14:textId="77777777" w:rsidR="004C52BC" w:rsidRPr="00B77BB5" w:rsidRDefault="004C52BC" w:rsidP="008C5014">
      <w:pPr>
        <w:spacing w:after="0" w:line="240" w:lineRule="auto"/>
      </w:pPr>
      <w:r w:rsidRPr="00B77B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55C7" w14:textId="77777777" w:rsidR="00B92E73" w:rsidRPr="00B77BB5" w:rsidRDefault="00B92E73">
    <w:pPr>
      <w:pStyle w:val="Header"/>
    </w:pPr>
    <w:r w:rsidRPr="00B77BB5">
      <w:drawing>
        <wp:anchor distT="0" distB="0" distL="114300" distR="114300" simplePos="0" relativeHeight="251659264" behindDoc="1" locked="0" layoutInCell="1" allowOverlap="1" wp14:anchorId="105B3F0C" wp14:editId="178E6396">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785D" w14:textId="77777777" w:rsidR="008C5014" w:rsidRPr="00B77BB5" w:rsidRDefault="008C5014">
    <w:pPr>
      <w:pStyle w:val="Header"/>
    </w:pPr>
  </w:p>
  <w:p w14:paraId="28385BDB" w14:textId="77777777" w:rsidR="00F14040" w:rsidRPr="00B77BB5" w:rsidRDefault="00F14040">
    <w:pPr>
      <w:pStyle w:val="Header"/>
      <w:rPr>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3440"/>
      <w:gridCol w:w="1457"/>
      <w:gridCol w:w="2476"/>
    </w:tblGrid>
    <w:tr w:rsidR="00B530E6" w:rsidRPr="00B77BB5" w14:paraId="2478041D" w14:textId="77777777" w:rsidTr="00E52CA5">
      <w:tc>
        <w:tcPr>
          <w:tcW w:w="5985" w:type="dxa"/>
          <w:gridSpan w:val="2"/>
        </w:tcPr>
        <w:p w14:paraId="1528B2C2" w14:textId="77777777" w:rsidR="00B530E6" w:rsidRPr="00B77BB5" w:rsidRDefault="00B530E6" w:rsidP="00F14040">
          <w:pPr>
            <w:pStyle w:val="Header"/>
            <w:rPr>
              <w:sz w:val="18"/>
              <w:szCs w:val="18"/>
            </w:rPr>
          </w:pPr>
          <w:r w:rsidRPr="00B77BB5">
            <w:drawing>
              <wp:inline distT="0" distB="0" distL="0" distR="0" wp14:anchorId="4C8F3C1F" wp14:editId="2E0247CE">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3933" w:type="dxa"/>
          <w:gridSpan w:val="2"/>
        </w:tcPr>
        <w:p w14:paraId="555E79EB" w14:textId="1F71023D" w:rsidR="00B530E6" w:rsidRPr="00B77BB5" w:rsidRDefault="002B1F68" w:rsidP="00311EE1">
          <w:pPr>
            <w:pStyle w:val="Header"/>
            <w:rPr>
              <w:sz w:val="28"/>
              <w:szCs w:val="28"/>
            </w:rPr>
          </w:pPr>
          <w:r w:rsidRPr="00B77BB5">
            <w:rPr>
              <w:sz w:val="28"/>
            </w:rPr>
            <w:t>Federaal Plan, thematische werkgroep koopkracht</w:t>
          </w:r>
        </w:p>
      </w:tc>
    </w:tr>
    <w:tr w:rsidR="00B530E6" w:rsidRPr="00B77BB5" w14:paraId="488E0B9E" w14:textId="77777777" w:rsidTr="00E52CA5">
      <w:tc>
        <w:tcPr>
          <w:tcW w:w="2545" w:type="dxa"/>
          <w:tcBorders>
            <w:bottom w:val="single" w:sz="4" w:space="0" w:color="auto"/>
          </w:tcBorders>
        </w:tcPr>
        <w:p w14:paraId="2B429AE9" w14:textId="77777777" w:rsidR="00F14040" w:rsidRPr="00B77BB5" w:rsidRDefault="00F14040">
          <w:pPr>
            <w:pStyle w:val="Header"/>
            <w:rPr>
              <w:sz w:val="18"/>
              <w:szCs w:val="18"/>
            </w:rPr>
          </w:pPr>
        </w:p>
      </w:tc>
      <w:tc>
        <w:tcPr>
          <w:tcW w:w="3440" w:type="dxa"/>
          <w:tcBorders>
            <w:bottom w:val="single" w:sz="4" w:space="0" w:color="auto"/>
          </w:tcBorders>
        </w:tcPr>
        <w:p w14:paraId="353DB656" w14:textId="77777777" w:rsidR="00F14040" w:rsidRPr="00B77BB5" w:rsidRDefault="00F14040">
          <w:pPr>
            <w:pStyle w:val="Header"/>
            <w:rPr>
              <w:sz w:val="18"/>
              <w:szCs w:val="18"/>
            </w:rPr>
          </w:pPr>
        </w:p>
      </w:tc>
      <w:tc>
        <w:tcPr>
          <w:tcW w:w="1457" w:type="dxa"/>
          <w:tcBorders>
            <w:bottom w:val="single" w:sz="4" w:space="0" w:color="auto"/>
          </w:tcBorders>
        </w:tcPr>
        <w:p w14:paraId="1B88C4FB" w14:textId="77777777" w:rsidR="00F14040" w:rsidRPr="00B77BB5" w:rsidRDefault="00F14040">
          <w:pPr>
            <w:pStyle w:val="Header"/>
            <w:rPr>
              <w:sz w:val="18"/>
              <w:szCs w:val="18"/>
            </w:rPr>
          </w:pPr>
        </w:p>
      </w:tc>
      <w:tc>
        <w:tcPr>
          <w:tcW w:w="2476" w:type="dxa"/>
          <w:tcBorders>
            <w:bottom w:val="single" w:sz="4" w:space="0" w:color="auto"/>
          </w:tcBorders>
        </w:tcPr>
        <w:p w14:paraId="68F98C73" w14:textId="77777777" w:rsidR="00F14040" w:rsidRPr="00B77BB5" w:rsidRDefault="00F14040">
          <w:pPr>
            <w:pStyle w:val="Header"/>
            <w:rPr>
              <w:sz w:val="18"/>
              <w:szCs w:val="18"/>
            </w:rPr>
          </w:pPr>
        </w:p>
      </w:tc>
    </w:tr>
    <w:tr w:rsidR="00874E34" w:rsidRPr="00B77BB5" w14:paraId="40383CAF" w14:textId="77777777" w:rsidTr="00E52CA5">
      <w:tc>
        <w:tcPr>
          <w:tcW w:w="2545" w:type="dxa"/>
          <w:tcBorders>
            <w:top w:val="single" w:sz="4" w:space="0" w:color="auto"/>
          </w:tcBorders>
        </w:tcPr>
        <w:p w14:paraId="0C607F33" w14:textId="77777777" w:rsidR="00874E34" w:rsidRPr="00B77BB5" w:rsidRDefault="00874E34" w:rsidP="00874E34">
          <w:pPr>
            <w:pStyle w:val="Header"/>
            <w:jc w:val="right"/>
            <w:rPr>
              <w:b/>
              <w:color w:val="808080" w:themeColor="background1" w:themeShade="80"/>
              <w:sz w:val="18"/>
              <w:szCs w:val="18"/>
            </w:rPr>
          </w:pPr>
          <w:r w:rsidRPr="00B77BB5">
            <w:rPr>
              <w:b/>
              <w:color w:val="808080" w:themeColor="background1" w:themeShade="80"/>
              <w:sz w:val="18"/>
            </w:rPr>
            <w:t>Datum:</w:t>
          </w:r>
        </w:p>
      </w:tc>
      <w:tc>
        <w:tcPr>
          <w:tcW w:w="3440" w:type="dxa"/>
          <w:tcBorders>
            <w:top w:val="single" w:sz="4" w:space="0" w:color="auto"/>
          </w:tcBorders>
        </w:tcPr>
        <w:p w14:paraId="6CFC6FFC" w14:textId="0B7B53D2" w:rsidR="00874E34" w:rsidRPr="00B77BB5" w:rsidRDefault="002B1F68" w:rsidP="00874E34">
          <w:pPr>
            <w:pStyle w:val="Header"/>
            <w:rPr>
              <w:sz w:val="18"/>
              <w:szCs w:val="18"/>
            </w:rPr>
          </w:pPr>
          <w:r w:rsidRPr="00B77BB5">
            <w:rPr>
              <w:sz w:val="18"/>
            </w:rPr>
            <w:t>25-06-2025</w:t>
          </w:r>
        </w:p>
      </w:tc>
      <w:tc>
        <w:tcPr>
          <w:tcW w:w="1457" w:type="dxa"/>
          <w:tcBorders>
            <w:top w:val="single" w:sz="4" w:space="0" w:color="auto"/>
          </w:tcBorders>
        </w:tcPr>
        <w:p w14:paraId="2B611A0C" w14:textId="77777777" w:rsidR="00874E34" w:rsidRPr="00B77BB5" w:rsidRDefault="00D011EF" w:rsidP="00874E34">
          <w:pPr>
            <w:pStyle w:val="Header"/>
            <w:jc w:val="right"/>
            <w:rPr>
              <w:b/>
              <w:color w:val="808080" w:themeColor="background1" w:themeShade="80"/>
              <w:sz w:val="18"/>
              <w:szCs w:val="18"/>
            </w:rPr>
          </w:pPr>
          <w:r w:rsidRPr="00B77BB5">
            <w:rPr>
              <w:b/>
              <w:color w:val="808080" w:themeColor="background1" w:themeShade="80"/>
              <w:sz w:val="18"/>
            </w:rPr>
            <w:t>Notulist:</w:t>
          </w:r>
        </w:p>
      </w:tc>
      <w:tc>
        <w:tcPr>
          <w:tcW w:w="2476" w:type="dxa"/>
          <w:tcBorders>
            <w:top w:val="single" w:sz="4" w:space="0" w:color="auto"/>
          </w:tcBorders>
        </w:tcPr>
        <w:p w14:paraId="47310FCE" w14:textId="1921FAAD" w:rsidR="00874E34" w:rsidRPr="00B77BB5" w:rsidRDefault="00F1666B" w:rsidP="00874E34">
          <w:pPr>
            <w:pStyle w:val="Header"/>
            <w:rPr>
              <w:sz w:val="18"/>
              <w:szCs w:val="18"/>
            </w:rPr>
          </w:pPr>
          <w:r w:rsidRPr="00B77BB5">
            <w:rPr>
              <w:sz w:val="18"/>
            </w:rPr>
            <w:t>Alyssandre Deforest</w:t>
          </w:r>
        </w:p>
      </w:tc>
    </w:tr>
    <w:tr w:rsidR="00874E34" w:rsidRPr="00B77BB5" w14:paraId="01A75C03" w14:textId="77777777" w:rsidTr="00E52CA5">
      <w:tc>
        <w:tcPr>
          <w:tcW w:w="2545" w:type="dxa"/>
          <w:tcBorders>
            <w:bottom w:val="single" w:sz="4" w:space="0" w:color="auto"/>
          </w:tcBorders>
        </w:tcPr>
        <w:p w14:paraId="487CE02A" w14:textId="77777777" w:rsidR="00874E34" w:rsidRPr="00B77BB5" w:rsidRDefault="00D011EF" w:rsidP="00874E34">
          <w:pPr>
            <w:pStyle w:val="Header"/>
            <w:jc w:val="right"/>
            <w:rPr>
              <w:b/>
              <w:color w:val="808080" w:themeColor="background1" w:themeShade="80"/>
              <w:sz w:val="18"/>
              <w:szCs w:val="18"/>
            </w:rPr>
          </w:pPr>
          <w:r w:rsidRPr="00B77BB5">
            <w:rPr>
              <w:b/>
              <w:color w:val="808080" w:themeColor="background1" w:themeShade="80"/>
              <w:sz w:val="18"/>
            </w:rPr>
            <w:t>Naam van de vergadering:</w:t>
          </w:r>
        </w:p>
      </w:tc>
      <w:tc>
        <w:tcPr>
          <w:tcW w:w="7373" w:type="dxa"/>
          <w:gridSpan w:val="3"/>
          <w:tcBorders>
            <w:bottom w:val="single" w:sz="4" w:space="0" w:color="auto"/>
          </w:tcBorders>
        </w:tcPr>
        <w:p w14:paraId="79B075E2" w14:textId="085BDC6B" w:rsidR="00874E34" w:rsidRPr="00B77BB5" w:rsidRDefault="002B1F68" w:rsidP="00F1666B">
          <w:pPr>
            <w:pStyle w:val="Header"/>
            <w:rPr>
              <w:sz w:val="18"/>
              <w:szCs w:val="18"/>
            </w:rPr>
          </w:pPr>
          <w:r w:rsidRPr="00B77BB5">
            <w:rPr>
              <w:sz w:val="18"/>
            </w:rPr>
            <w:t xml:space="preserve">Federaal Plan – thematische werkgroep </w:t>
          </w:r>
          <w:r w:rsidR="004C3E66" w:rsidRPr="00B77BB5">
            <w:t xml:space="preserve"> </w:t>
          </w:r>
          <w:r w:rsidRPr="00B77BB5">
            <w:rPr>
              <w:sz w:val="18"/>
            </w:rPr>
            <w:t>koopkracht</w:t>
          </w:r>
        </w:p>
      </w:tc>
    </w:tr>
  </w:tbl>
  <w:p w14:paraId="0C818AC7" w14:textId="77777777" w:rsidR="00F14040" w:rsidRPr="00B77BB5" w:rsidRDefault="00F14040">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4760"/>
    <w:multiLevelType w:val="multilevel"/>
    <w:tmpl w:val="CEE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D7349"/>
    <w:multiLevelType w:val="multilevel"/>
    <w:tmpl w:val="2996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C6D42"/>
    <w:multiLevelType w:val="multilevel"/>
    <w:tmpl w:val="7C0A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010FA"/>
    <w:multiLevelType w:val="multilevel"/>
    <w:tmpl w:val="003A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F2AD0"/>
    <w:multiLevelType w:val="hybridMultilevel"/>
    <w:tmpl w:val="248C8B6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57D3EFE"/>
    <w:multiLevelType w:val="multilevel"/>
    <w:tmpl w:val="9C3E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F769C"/>
    <w:multiLevelType w:val="multilevel"/>
    <w:tmpl w:val="415E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A5820"/>
    <w:multiLevelType w:val="multilevel"/>
    <w:tmpl w:val="F7F2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03D17"/>
    <w:multiLevelType w:val="multilevel"/>
    <w:tmpl w:val="9714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157A0"/>
    <w:multiLevelType w:val="multilevel"/>
    <w:tmpl w:val="A89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B37E78"/>
    <w:multiLevelType w:val="multilevel"/>
    <w:tmpl w:val="3AF2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159AB"/>
    <w:multiLevelType w:val="multilevel"/>
    <w:tmpl w:val="95D8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F1030"/>
    <w:multiLevelType w:val="multilevel"/>
    <w:tmpl w:val="4BEC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B6EE7"/>
    <w:multiLevelType w:val="hybridMultilevel"/>
    <w:tmpl w:val="07DCCD7C"/>
    <w:lvl w:ilvl="0" w:tplc="7EBC9824">
      <w:start w:val="1"/>
      <w:numFmt w:val="decimal"/>
      <w:lvlText w:val="%1."/>
      <w:lvlJc w:val="left"/>
      <w:pPr>
        <w:ind w:left="744" w:hanging="38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CEF7F3B"/>
    <w:multiLevelType w:val="multilevel"/>
    <w:tmpl w:val="B4C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266CF"/>
    <w:multiLevelType w:val="multilevel"/>
    <w:tmpl w:val="B40A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66AEA"/>
    <w:multiLevelType w:val="multilevel"/>
    <w:tmpl w:val="D6A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30C93"/>
    <w:multiLevelType w:val="multilevel"/>
    <w:tmpl w:val="5034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C0FA5"/>
    <w:multiLevelType w:val="multilevel"/>
    <w:tmpl w:val="E5E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33899"/>
    <w:multiLevelType w:val="multilevel"/>
    <w:tmpl w:val="ECA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92033">
    <w:abstractNumId w:val="13"/>
  </w:num>
  <w:num w:numId="2" w16cid:durableId="193274359">
    <w:abstractNumId w:val="0"/>
  </w:num>
  <w:num w:numId="3" w16cid:durableId="2030595899">
    <w:abstractNumId w:val="8"/>
  </w:num>
  <w:num w:numId="4" w16cid:durableId="308439985">
    <w:abstractNumId w:val="16"/>
  </w:num>
  <w:num w:numId="5" w16cid:durableId="340745184">
    <w:abstractNumId w:val="6"/>
  </w:num>
  <w:num w:numId="6" w16cid:durableId="68817992">
    <w:abstractNumId w:val="18"/>
  </w:num>
  <w:num w:numId="7" w16cid:durableId="390931647">
    <w:abstractNumId w:val="12"/>
  </w:num>
  <w:num w:numId="8" w16cid:durableId="221331771">
    <w:abstractNumId w:val="15"/>
  </w:num>
  <w:num w:numId="9" w16cid:durableId="51079033">
    <w:abstractNumId w:val="5"/>
  </w:num>
  <w:num w:numId="10" w16cid:durableId="1495418726">
    <w:abstractNumId w:val="14"/>
  </w:num>
  <w:num w:numId="11" w16cid:durableId="735782258">
    <w:abstractNumId w:val="10"/>
  </w:num>
  <w:num w:numId="12" w16cid:durableId="1954434332">
    <w:abstractNumId w:val="9"/>
  </w:num>
  <w:num w:numId="13" w16cid:durableId="403063477">
    <w:abstractNumId w:val="17"/>
  </w:num>
  <w:num w:numId="14" w16cid:durableId="925191327">
    <w:abstractNumId w:val="19"/>
  </w:num>
  <w:num w:numId="15" w16cid:durableId="223831804">
    <w:abstractNumId w:val="7"/>
  </w:num>
  <w:num w:numId="16" w16cid:durableId="1985621877">
    <w:abstractNumId w:val="3"/>
  </w:num>
  <w:num w:numId="17" w16cid:durableId="1282805454">
    <w:abstractNumId w:val="2"/>
  </w:num>
  <w:num w:numId="18" w16cid:durableId="1778406486">
    <w:abstractNumId w:val="1"/>
  </w:num>
  <w:num w:numId="19" w16cid:durableId="111635597">
    <w:abstractNumId w:val="11"/>
  </w:num>
  <w:num w:numId="20" w16cid:durableId="149279755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5004"/>
    <w:rsid w:val="00032C5A"/>
    <w:rsid w:val="00032E34"/>
    <w:rsid w:val="000419C6"/>
    <w:rsid w:val="00047880"/>
    <w:rsid w:val="000501EE"/>
    <w:rsid w:val="000512CC"/>
    <w:rsid w:val="00056860"/>
    <w:rsid w:val="00060A9C"/>
    <w:rsid w:val="00076FBD"/>
    <w:rsid w:val="00084A52"/>
    <w:rsid w:val="00087025"/>
    <w:rsid w:val="0009597A"/>
    <w:rsid w:val="000A68B6"/>
    <w:rsid w:val="000C2E33"/>
    <w:rsid w:val="000C3FFB"/>
    <w:rsid w:val="000D2DCA"/>
    <w:rsid w:val="000E6BCB"/>
    <w:rsid w:val="000E6BFC"/>
    <w:rsid w:val="000F2CD2"/>
    <w:rsid w:val="000F478B"/>
    <w:rsid w:val="00110689"/>
    <w:rsid w:val="00110BED"/>
    <w:rsid w:val="00116B87"/>
    <w:rsid w:val="00130CA5"/>
    <w:rsid w:val="00131318"/>
    <w:rsid w:val="001319AD"/>
    <w:rsid w:val="0013499E"/>
    <w:rsid w:val="00141353"/>
    <w:rsid w:val="00150767"/>
    <w:rsid w:val="00152AD1"/>
    <w:rsid w:val="0016402F"/>
    <w:rsid w:val="001644D9"/>
    <w:rsid w:val="0016729F"/>
    <w:rsid w:val="0017182F"/>
    <w:rsid w:val="00173558"/>
    <w:rsid w:val="0017786E"/>
    <w:rsid w:val="001A58A5"/>
    <w:rsid w:val="001B2128"/>
    <w:rsid w:val="001B3450"/>
    <w:rsid w:val="001C5645"/>
    <w:rsid w:val="001C5F41"/>
    <w:rsid w:val="001E00D5"/>
    <w:rsid w:val="001E2FF2"/>
    <w:rsid w:val="001F0A1E"/>
    <w:rsid w:val="001F7591"/>
    <w:rsid w:val="001F7C45"/>
    <w:rsid w:val="0021368B"/>
    <w:rsid w:val="0021434B"/>
    <w:rsid w:val="00217BC6"/>
    <w:rsid w:val="002345FB"/>
    <w:rsid w:val="00241FA6"/>
    <w:rsid w:val="00243A7D"/>
    <w:rsid w:val="00272E4C"/>
    <w:rsid w:val="0028688D"/>
    <w:rsid w:val="00295E6F"/>
    <w:rsid w:val="002A1F8C"/>
    <w:rsid w:val="002B151A"/>
    <w:rsid w:val="002B1F68"/>
    <w:rsid w:val="002B307D"/>
    <w:rsid w:val="002C0E28"/>
    <w:rsid w:val="002C2DB8"/>
    <w:rsid w:val="002F04B5"/>
    <w:rsid w:val="00311EE1"/>
    <w:rsid w:val="0031253E"/>
    <w:rsid w:val="00315B25"/>
    <w:rsid w:val="00320363"/>
    <w:rsid w:val="003276DA"/>
    <w:rsid w:val="00334572"/>
    <w:rsid w:val="00334C22"/>
    <w:rsid w:val="003579E8"/>
    <w:rsid w:val="00374996"/>
    <w:rsid w:val="00377DFC"/>
    <w:rsid w:val="00384F17"/>
    <w:rsid w:val="00392215"/>
    <w:rsid w:val="003A21B0"/>
    <w:rsid w:val="003A4F25"/>
    <w:rsid w:val="003C700D"/>
    <w:rsid w:val="003E3622"/>
    <w:rsid w:val="00400A23"/>
    <w:rsid w:val="00401E6D"/>
    <w:rsid w:val="00413242"/>
    <w:rsid w:val="00414027"/>
    <w:rsid w:val="00420539"/>
    <w:rsid w:val="00424085"/>
    <w:rsid w:val="004272E0"/>
    <w:rsid w:val="0043512F"/>
    <w:rsid w:val="00440841"/>
    <w:rsid w:val="00450453"/>
    <w:rsid w:val="004505BB"/>
    <w:rsid w:val="00454203"/>
    <w:rsid w:val="00454480"/>
    <w:rsid w:val="00454F7F"/>
    <w:rsid w:val="00462BFA"/>
    <w:rsid w:val="00484D88"/>
    <w:rsid w:val="00491478"/>
    <w:rsid w:val="004961C4"/>
    <w:rsid w:val="00497433"/>
    <w:rsid w:val="00497B0E"/>
    <w:rsid w:val="004A26AF"/>
    <w:rsid w:val="004A3F96"/>
    <w:rsid w:val="004B466B"/>
    <w:rsid w:val="004C082D"/>
    <w:rsid w:val="004C3E66"/>
    <w:rsid w:val="004C52BC"/>
    <w:rsid w:val="004D5DB2"/>
    <w:rsid w:val="004E1F63"/>
    <w:rsid w:val="004F67AF"/>
    <w:rsid w:val="00502DB6"/>
    <w:rsid w:val="00531C12"/>
    <w:rsid w:val="005331E6"/>
    <w:rsid w:val="00550830"/>
    <w:rsid w:val="0056146D"/>
    <w:rsid w:val="00562365"/>
    <w:rsid w:val="005732AC"/>
    <w:rsid w:val="005917C4"/>
    <w:rsid w:val="00596E1F"/>
    <w:rsid w:val="005E17FA"/>
    <w:rsid w:val="00600D0E"/>
    <w:rsid w:val="0061482E"/>
    <w:rsid w:val="0062271E"/>
    <w:rsid w:val="00625962"/>
    <w:rsid w:val="00637069"/>
    <w:rsid w:val="00656DE5"/>
    <w:rsid w:val="006625EF"/>
    <w:rsid w:val="00676024"/>
    <w:rsid w:val="00677007"/>
    <w:rsid w:val="00683B7E"/>
    <w:rsid w:val="006A166B"/>
    <w:rsid w:val="006B5530"/>
    <w:rsid w:val="006D2E74"/>
    <w:rsid w:val="006E4182"/>
    <w:rsid w:val="006F7572"/>
    <w:rsid w:val="00710FF0"/>
    <w:rsid w:val="00711B52"/>
    <w:rsid w:val="00724DCB"/>
    <w:rsid w:val="00731EAB"/>
    <w:rsid w:val="007420B4"/>
    <w:rsid w:val="00744B74"/>
    <w:rsid w:val="0075445D"/>
    <w:rsid w:val="00781B1C"/>
    <w:rsid w:val="00782D0D"/>
    <w:rsid w:val="00787C05"/>
    <w:rsid w:val="00796368"/>
    <w:rsid w:val="007A133A"/>
    <w:rsid w:val="007C023B"/>
    <w:rsid w:val="007C241D"/>
    <w:rsid w:val="007C3EFD"/>
    <w:rsid w:val="007C4399"/>
    <w:rsid w:val="00804828"/>
    <w:rsid w:val="00807B17"/>
    <w:rsid w:val="00811C34"/>
    <w:rsid w:val="008171A0"/>
    <w:rsid w:val="008203F6"/>
    <w:rsid w:val="00823648"/>
    <w:rsid w:val="00836414"/>
    <w:rsid w:val="00853132"/>
    <w:rsid w:val="00866CF9"/>
    <w:rsid w:val="0087411B"/>
    <w:rsid w:val="00874E34"/>
    <w:rsid w:val="00880450"/>
    <w:rsid w:val="008822E2"/>
    <w:rsid w:val="00887B2C"/>
    <w:rsid w:val="00890DB9"/>
    <w:rsid w:val="008971B1"/>
    <w:rsid w:val="008A18A9"/>
    <w:rsid w:val="008B2ECA"/>
    <w:rsid w:val="008C5014"/>
    <w:rsid w:val="008D378C"/>
    <w:rsid w:val="008D421C"/>
    <w:rsid w:val="008D4CB3"/>
    <w:rsid w:val="008D629D"/>
    <w:rsid w:val="0090446C"/>
    <w:rsid w:val="0091273D"/>
    <w:rsid w:val="00931F7A"/>
    <w:rsid w:val="009434D5"/>
    <w:rsid w:val="00980E09"/>
    <w:rsid w:val="009951A7"/>
    <w:rsid w:val="00995A13"/>
    <w:rsid w:val="00997670"/>
    <w:rsid w:val="009C03DD"/>
    <w:rsid w:val="009C0F72"/>
    <w:rsid w:val="009C2EAF"/>
    <w:rsid w:val="009C361B"/>
    <w:rsid w:val="009C5EA7"/>
    <w:rsid w:val="009D5CBB"/>
    <w:rsid w:val="00A23BCD"/>
    <w:rsid w:val="00A409EB"/>
    <w:rsid w:val="00A417C7"/>
    <w:rsid w:val="00A46D49"/>
    <w:rsid w:val="00A63D14"/>
    <w:rsid w:val="00A7401E"/>
    <w:rsid w:val="00A81C52"/>
    <w:rsid w:val="00A87735"/>
    <w:rsid w:val="00AF2155"/>
    <w:rsid w:val="00B01196"/>
    <w:rsid w:val="00B01734"/>
    <w:rsid w:val="00B01FD3"/>
    <w:rsid w:val="00B211F8"/>
    <w:rsid w:val="00B31002"/>
    <w:rsid w:val="00B35292"/>
    <w:rsid w:val="00B477C6"/>
    <w:rsid w:val="00B530E6"/>
    <w:rsid w:val="00B63C85"/>
    <w:rsid w:val="00B64239"/>
    <w:rsid w:val="00B7206A"/>
    <w:rsid w:val="00B77706"/>
    <w:rsid w:val="00B77BB5"/>
    <w:rsid w:val="00B81BD1"/>
    <w:rsid w:val="00B81C33"/>
    <w:rsid w:val="00B86BDD"/>
    <w:rsid w:val="00B90E88"/>
    <w:rsid w:val="00B92E73"/>
    <w:rsid w:val="00BB397E"/>
    <w:rsid w:val="00BB508F"/>
    <w:rsid w:val="00BC6C9E"/>
    <w:rsid w:val="00BF22AE"/>
    <w:rsid w:val="00C009EA"/>
    <w:rsid w:val="00C02838"/>
    <w:rsid w:val="00C15F2A"/>
    <w:rsid w:val="00C31192"/>
    <w:rsid w:val="00C5311C"/>
    <w:rsid w:val="00C63CAC"/>
    <w:rsid w:val="00C85D6B"/>
    <w:rsid w:val="00CC1970"/>
    <w:rsid w:val="00CF2D96"/>
    <w:rsid w:val="00D011EF"/>
    <w:rsid w:val="00D04455"/>
    <w:rsid w:val="00D10D6E"/>
    <w:rsid w:val="00D249F2"/>
    <w:rsid w:val="00D313DC"/>
    <w:rsid w:val="00D327EB"/>
    <w:rsid w:val="00D4520C"/>
    <w:rsid w:val="00D56A9E"/>
    <w:rsid w:val="00D677FB"/>
    <w:rsid w:val="00D713CE"/>
    <w:rsid w:val="00D72549"/>
    <w:rsid w:val="00D72BA5"/>
    <w:rsid w:val="00D748B5"/>
    <w:rsid w:val="00D752CB"/>
    <w:rsid w:val="00D90C84"/>
    <w:rsid w:val="00D94EBE"/>
    <w:rsid w:val="00DA19D4"/>
    <w:rsid w:val="00DA62AD"/>
    <w:rsid w:val="00DB1B95"/>
    <w:rsid w:val="00DC2BCE"/>
    <w:rsid w:val="00DC5D78"/>
    <w:rsid w:val="00DD40C3"/>
    <w:rsid w:val="00DD5906"/>
    <w:rsid w:val="00DD6402"/>
    <w:rsid w:val="00DF4940"/>
    <w:rsid w:val="00DF6A6E"/>
    <w:rsid w:val="00E05C12"/>
    <w:rsid w:val="00E11665"/>
    <w:rsid w:val="00E20E96"/>
    <w:rsid w:val="00E27D1B"/>
    <w:rsid w:val="00E31FFB"/>
    <w:rsid w:val="00E50626"/>
    <w:rsid w:val="00E52CA5"/>
    <w:rsid w:val="00E53096"/>
    <w:rsid w:val="00E835B7"/>
    <w:rsid w:val="00E90247"/>
    <w:rsid w:val="00E90FC9"/>
    <w:rsid w:val="00E94211"/>
    <w:rsid w:val="00E94550"/>
    <w:rsid w:val="00EA5741"/>
    <w:rsid w:val="00EB22D7"/>
    <w:rsid w:val="00EB3361"/>
    <w:rsid w:val="00EC39A1"/>
    <w:rsid w:val="00ED0598"/>
    <w:rsid w:val="00EE134B"/>
    <w:rsid w:val="00EE3288"/>
    <w:rsid w:val="00F0153D"/>
    <w:rsid w:val="00F02A92"/>
    <w:rsid w:val="00F04011"/>
    <w:rsid w:val="00F14040"/>
    <w:rsid w:val="00F157CE"/>
    <w:rsid w:val="00F159C0"/>
    <w:rsid w:val="00F15CBA"/>
    <w:rsid w:val="00F1666B"/>
    <w:rsid w:val="00F237CB"/>
    <w:rsid w:val="00F2441A"/>
    <w:rsid w:val="00F3279A"/>
    <w:rsid w:val="00F333B7"/>
    <w:rsid w:val="00F37FF2"/>
    <w:rsid w:val="00F54691"/>
    <w:rsid w:val="00FA0A47"/>
    <w:rsid w:val="00FA1C99"/>
    <w:rsid w:val="00FB097B"/>
    <w:rsid w:val="00FB289F"/>
    <w:rsid w:val="00FB3892"/>
    <w:rsid w:val="00FD3EF2"/>
    <w:rsid w:val="00FE2B90"/>
    <w:rsid w:val="00FE3B05"/>
    <w:rsid w:val="00FF12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F8319"/>
  <w15:chartTrackingRefBased/>
  <w15:docId w15:val="{5A064EEB-338A-45AB-AB22-ADD4542F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1D"/>
    <w:pPr>
      <w:spacing w:after="160" w:line="259" w:lineRule="auto"/>
    </w:pPr>
    <w:rPr>
      <w:rFonts w:eastAsiaTheme="minorHAnsi"/>
    </w:rPr>
  </w:style>
  <w:style w:type="paragraph" w:styleId="Heading1">
    <w:name w:val="heading 1"/>
    <w:basedOn w:val="Normal"/>
    <w:next w:val="Normal"/>
    <w:link w:val="Heading1Char"/>
    <w:uiPriority w:val="9"/>
    <w:qFormat/>
    <w:rsid w:val="007C241D"/>
    <w:pPr>
      <w:keepNext/>
      <w:keepLines/>
      <w:spacing w:before="240" w:after="0"/>
      <w:outlineLvl w:val="0"/>
    </w:pPr>
    <w:rPr>
      <w:rFonts w:asciiTheme="majorHAnsi" w:eastAsiaTheme="majorEastAsia" w:hAnsiTheme="majorHAnsi" w:cstheme="majorBidi"/>
      <w:b/>
      <w:color w:val="FFD12B"/>
      <w:sz w:val="48"/>
      <w:szCs w:val="32"/>
    </w:rPr>
  </w:style>
  <w:style w:type="paragraph" w:styleId="Heading2">
    <w:name w:val="heading 2"/>
    <w:basedOn w:val="Normal"/>
    <w:next w:val="Normal"/>
    <w:link w:val="Heading2Char"/>
    <w:uiPriority w:val="9"/>
    <w:unhideWhenUsed/>
    <w:qFormat/>
    <w:rsid w:val="007C241D"/>
    <w:pPr>
      <w:keepNext/>
      <w:keepLines/>
      <w:spacing w:before="40" w:after="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7C241D"/>
    <w:pPr>
      <w:keepNext/>
      <w:keepLines/>
      <w:spacing w:before="40" w:after="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7C241D"/>
    <w:pPr>
      <w:keepNext/>
      <w:keepLines/>
      <w:spacing w:before="40" w:after="0"/>
      <w:outlineLvl w:val="3"/>
    </w:pPr>
    <w:rPr>
      <w:rFonts w:asciiTheme="majorHAnsi" w:eastAsiaTheme="majorEastAsia" w:hAnsiTheme="majorHAnsi" w:cstheme="majorBidi"/>
      <w:b/>
      <w:iCs/>
      <w:sz w:val="24"/>
    </w:rPr>
  </w:style>
  <w:style w:type="paragraph" w:styleId="Heading5">
    <w:name w:val="heading 5"/>
    <w:basedOn w:val="Normal"/>
    <w:next w:val="Normal"/>
    <w:link w:val="Heading5Char"/>
    <w:uiPriority w:val="9"/>
    <w:unhideWhenUsed/>
    <w:qFormat/>
    <w:rsid w:val="007C241D"/>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1D"/>
    <w:rPr>
      <w:rFonts w:asciiTheme="majorHAnsi" w:eastAsiaTheme="majorEastAsia" w:hAnsiTheme="majorHAnsi" w:cstheme="majorBidi"/>
      <w:b/>
      <w:color w:val="FFD12B"/>
      <w:sz w:val="48"/>
      <w:szCs w:val="32"/>
    </w:rPr>
  </w:style>
  <w:style w:type="character" w:customStyle="1" w:styleId="Heading2Char">
    <w:name w:val="Heading 2 Char"/>
    <w:basedOn w:val="DefaultParagraphFont"/>
    <w:link w:val="Heading2"/>
    <w:uiPriority w:val="9"/>
    <w:rsid w:val="007C241D"/>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9"/>
    <w:rsid w:val="007C241D"/>
    <w:rPr>
      <w:rFonts w:asciiTheme="majorHAnsi" w:eastAsiaTheme="majorEastAsia" w:hAnsiTheme="majorHAnsi" w:cstheme="majorBidi"/>
      <w:b/>
      <w:sz w:val="28"/>
      <w:szCs w:val="24"/>
    </w:rPr>
  </w:style>
  <w:style w:type="character" w:customStyle="1" w:styleId="Heading4Char">
    <w:name w:val="Heading 4 Char"/>
    <w:basedOn w:val="DefaultParagraphFont"/>
    <w:link w:val="Heading4"/>
    <w:uiPriority w:val="9"/>
    <w:rsid w:val="007C241D"/>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rsid w:val="007C241D"/>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501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C241D"/>
    <w:pPr>
      <w:spacing w:after="200" w:line="240" w:lineRule="auto"/>
    </w:pPr>
    <w:rPr>
      <w:i/>
      <w:iCs/>
      <w:sz w:val="20"/>
      <w:szCs w:val="18"/>
    </w:rPr>
  </w:style>
  <w:style w:type="paragraph" w:styleId="Title">
    <w:name w:val="Title"/>
    <w:basedOn w:val="Normal"/>
    <w:next w:val="Normal"/>
    <w:link w:val="TitleChar"/>
    <w:uiPriority w:val="10"/>
    <w:qFormat/>
    <w:rsid w:val="007C241D"/>
    <w:pPr>
      <w:spacing w:after="0" w:line="240" w:lineRule="auto"/>
      <w:contextualSpacing/>
    </w:pPr>
    <w:rPr>
      <w:rFonts w:asciiTheme="majorHAnsi" w:eastAsiaTheme="majorEastAsia" w:hAnsiTheme="majorHAnsi" w:cstheme="majorBidi"/>
      <w:b/>
      <w:color w:val="FFD12B"/>
      <w:spacing w:val="-10"/>
      <w:kern w:val="28"/>
      <w:sz w:val="120"/>
      <w:szCs w:val="56"/>
    </w:rPr>
  </w:style>
  <w:style w:type="character" w:customStyle="1" w:styleId="TitleChar">
    <w:name w:val="Title Char"/>
    <w:basedOn w:val="DefaultParagraphFont"/>
    <w:link w:val="Title"/>
    <w:uiPriority w:val="10"/>
    <w:rsid w:val="007C241D"/>
    <w:rPr>
      <w:rFonts w:asciiTheme="majorHAnsi" w:eastAsiaTheme="majorEastAsia" w:hAnsiTheme="majorHAnsi" w:cstheme="majorBidi"/>
      <w:b/>
      <w:color w:val="FFD12B"/>
      <w:spacing w:val="-10"/>
      <w:kern w:val="28"/>
      <w:sz w:val="120"/>
      <w:szCs w:val="56"/>
    </w:rPr>
  </w:style>
  <w:style w:type="paragraph" w:styleId="Subtitle">
    <w:name w:val="Subtitle"/>
    <w:basedOn w:val="Normal"/>
    <w:next w:val="Normal"/>
    <w:link w:val="SubtitleChar"/>
    <w:uiPriority w:val="11"/>
    <w:qFormat/>
    <w:rsid w:val="007C241D"/>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7C241D"/>
    <w:rPr>
      <w:spacing w:val="15"/>
      <w:sz w:val="32"/>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7C241D"/>
    <w:pPr>
      <w:spacing w:before="200"/>
      <w:ind w:left="864" w:right="864"/>
      <w:jc w:val="center"/>
    </w:pPr>
    <w:rPr>
      <w:i/>
      <w:iCs/>
      <w:color w:val="FFD12B"/>
    </w:rPr>
  </w:style>
  <w:style w:type="character" w:customStyle="1" w:styleId="QuoteChar">
    <w:name w:val="Quote Char"/>
    <w:basedOn w:val="DefaultParagraphFont"/>
    <w:link w:val="Quote"/>
    <w:uiPriority w:val="29"/>
    <w:rsid w:val="007C241D"/>
    <w:rPr>
      <w:rFonts w:eastAsiaTheme="minorHAnsi"/>
      <w:i/>
      <w:iCs/>
      <w:color w:val="FFD12B"/>
    </w:rPr>
  </w:style>
  <w:style w:type="paragraph" w:styleId="IntenseQuote">
    <w:name w:val="Intense Quote"/>
    <w:basedOn w:val="Normal"/>
    <w:next w:val="Normal"/>
    <w:link w:val="IntenseQuoteChar"/>
    <w:uiPriority w:val="30"/>
    <w:qFormat/>
    <w:rsid w:val="008C501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C5014"/>
    <w:rPr>
      <w:b/>
      <w:bCs/>
      <w:i/>
      <w:iCs/>
      <w:color w:val="4472C4" w:themeColor="accent1"/>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8C5014"/>
    <w:rPr>
      <w:b/>
      <w:bCs/>
      <w:i/>
      <w:iCs/>
      <w:color w:val="4472C4" w:themeColor="accent1"/>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unhideWhenUsed/>
    <w:qFormat/>
    <w:rsid w:val="007C241D"/>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7C241D"/>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7C24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C241D"/>
    <w:rPr>
      <w:vertAlign w:val="superscript"/>
    </w:rPr>
  </w:style>
  <w:style w:type="paragraph" w:styleId="FootnoteText">
    <w:name w:val="footnote text"/>
    <w:basedOn w:val="Normal"/>
    <w:link w:val="FootnoteTextChar"/>
    <w:uiPriority w:val="99"/>
    <w:semiHidden/>
    <w:unhideWhenUsed/>
    <w:rsid w:val="007C24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41D"/>
    <w:rPr>
      <w:rFonts w:eastAsiaTheme="minorHAnsi"/>
      <w:sz w:val="20"/>
      <w:szCs w:val="20"/>
    </w:rPr>
  </w:style>
  <w:style w:type="table" w:styleId="GridTable1Light-Accent4">
    <w:name w:val="Grid Table 1 Light Accent 4"/>
    <w:basedOn w:val="TableNormal"/>
    <w:uiPriority w:val="46"/>
    <w:rsid w:val="007C241D"/>
    <w:pPr>
      <w:spacing w:after="0" w:line="240" w:lineRule="auto"/>
    </w:pPr>
    <w:rPr>
      <w:rFonts w:eastAsiaTheme="minorHAn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C241D"/>
    <w:pPr>
      <w:ind w:left="720"/>
      <w:contextualSpacing/>
    </w:pPr>
  </w:style>
  <w:style w:type="paragraph" w:styleId="TableofFigures">
    <w:name w:val="table of figures"/>
    <w:basedOn w:val="Normal"/>
    <w:next w:val="Normal"/>
    <w:uiPriority w:val="99"/>
    <w:unhideWhenUsed/>
    <w:rsid w:val="007C241D"/>
    <w:pPr>
      <w:spacing w:after="0"/>
    </w:pPr>
  </w:style>
  <w:style w:type="paragraph" w:styleId="TOC1">
    <w:name w:val="toc 1"/>
    <w:basedOn w:val="Normal"/>
    <w:next w:val="Normal"/>
    <w:autoRedefine/>
    <w:uiPriority w:val="39"/>
    <w:unhideWhenUsed/>
    <w:rsid w:val="007C241D"/>
    <w:pPr>
      <w:spacing w:after="100"/>
    </w:pPr>
  </w:style>
  <w:style w:type="paragraph" w:styleId="TOC2">
    <w:name w:val="toc 2"/>
    <w:basedOn w:val="Normal"/>
    <w:next w:val="Normal"/>
    <w:autoRedefine/>
    <w:uiPriority w:val="39"/>
    <w:unhideWhenUsed/>
    <w:rsid w:val="007C241D"/>
    <w:pPr>
      <w:spacing w:after="100"/>
      <w:ind w:left="220"/>
    </w:pPr>
  </w:style>
  <w:style w:type="paragraph" w:styleId="TOC3">
    <w:name w:val="toc 3"/>
    <w:basedOn w:val="Normal"/>
    <w:next w:val="Normal"/>
    <w:autoRedefine/>
    <w:uiPriority w:val="39"/>
    <w:unhideWhenUsed/>
    <w:rsid w:val="007C241D"/>
    <w:pPr>
      <w:spacing w:after="100"/>
      <w:ind w:left="440"/>
    </w:pPr>
  </w:style>
  <w:style w:type="paragraph" w:styleId="NormalWeb">
    <w:name w:val="Normal (Web)"/>
    <w:basedOn w:val="Normal"/>
    <w:uiPriority w:val="99"/>
    <w:semiHidden/>
    <w:unhideWhenUsed/>
    <w:rsid w:val="00DF494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Revision">
    <w:name w:val="Revision"/>
    <w:hidden/>
    <w:uiPriority w:val="99"/>
    <w:semiHidden/>
    <w:rsid w:val="00B31002"/>
    <w:pPr>
      <w:spacing w:after="0" w:line="240" w:lineRule="auto"/>
    </w:pPr>
    <w:rPr>
      <w:rFonts w:eastAsiaTheme="minorHAnsi"/>
    </w:rPr>
  </w:style>
  <w:style w:type="character" w:styleId="CommentReference">
    <w:name w:val="annotation reference"/>
    <w:basedOn w:val="DefaultParagraphFont"/>
    <w:uiPriority w:val="99"/>
    <w:semiHidden/>
    <w:unhideWhenUsed/>
    <w:rsid w:val="00B31002"/>
    <w:rPr>
      <w:sz w:val="16"/>
      <w:szCs w:val="16"/>
    </w:rPr>
  </w:style>
  <w:style w:type="paragraph" w:styleId="CommentText">
    <w:name w:val="annotation text"/>
    <w:basedOn w:val="Normal"/>
    <w:link w:val="CommentTextChar"/>
    <w:uiPriority w:val="99"/>
    <w:unhideWhenUsed/>
    <w:rsid w:val="00B31002"/>
    <w:pPr>
      <w:spacing w:line="240" w:lineRule="auto"/>
    </w:pPr>
    <w:rPr>
      <w:sz w:val="20"/>
      <w:szCs w:val="20"/>
    </w:rPr>
  </w:style>
  <w:style w:type="character" w:customStyle="1" w:styleId="CommentTextChar">
    <w:name w:val="Comment Text Char"/>
    <w:basedOn w:val="DefaultParagraphFont"/>
    <w:link w:val="CommentText"/>
    <w:uiPriority w:val="99"/>
    <w:rsid w:val="00B3100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31002"/>
    <w:rPr>
      <w:b/>
      <w:bCs/>
    </w:rPr>
  </w:style>
  <w:style w:type="character" w:customStyle="1" w:styleId="CommentSubjectChar">
    <w:name w:val="Comment Subject Char"/>
    <w:basedOn w:val="CommentTextChar"/>
    <w:link w:val="CommentSubject"/>
    <w:uiPriority w:val="99"/>
    <w:semiHidden/>
    <w:rsid w:val="00B31002"/>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8412">
      <w:bodyDiv w:val="1"/>
      <w:marLeft w:val="0"/>
      <w:marRight w:val="0"/>
      <w:marTop w:val="0"/>
      <w:marBottom w:val="0"/>
      <w:divBdr>
        <w:top w:val="none" w:sz="0" w:space="0" w:color="auto"/>
        <w:left w:val="none" w:sz="0" w:space="0" w:color="auto"/>
        <w:bottom w:val="none" w:sz="0" w:space="0" w:color="auto"/>
        <w:right w:val="none" w:sz="0" w:space="0" w:color="auto"/>
      </w:divBdr>
    </w:div>
    <w:div w:id="173229399">
      <w:bodyDiv w:val="1"/>
      <w:marLeft w:val="0"/>
      <w:marRight w:val="0"/>
      <w:marTop w:val="0"/>
      <w:marBottom w:val="0"/>
      <w:divBdr>
        <w:top w:val="none" w:sz="0" w:space="0" w:color="auto"/>
        <w:left w:val="none" w:sz="0" w:space="0" w:color="auto"/>
        <w:bottom w:val="none" w:sz="0" w:space="0" w:color="auto"/>
        <w:right w:val="none" w:sz="0" w:space="0" w:color="auto"/>
      </w:divBdr>
    </w:div>
    <w:div w:id="198707088">
      <w:bodyDiv w:val="1"/>
      <w:marLeft w:val="0"/>
      <w:marRight w:val="0"/>
      <w:marTop w:val="0"/>
      <w:marBottom w:val="0"/>
      <w:divBdr>
        <w:top w:val="none" w:sz="0" w:space="0" w:color="auto"/>
        <w:left w:val="none" w:sz="0" w:space="0" w:color="auto"/>
        <w:bottom w:val="none" w:sz="0" w:space="0" w:color="auto"/>
        <w:right w:val="none" w:sz="0" w:space="0" w:color="auto"/>
      </w:divBdr>
    </w:div>
    <w:div w:id="218172104">
      <w:bodyDiv w:val="1"/>
      <w:marLeft w:val="0"/>
      <w:marRight w:val="0"/>
      <w:marTop w:val="0"/>
      <w:marBottom w:val="0"/>
      <w:divBdr>
        <w:top w:val="none" w:sz="0" w:space="0" w:color="auto"/>
        <w:left w:val="none" w:sz="0" w:space="0" w:color="auto"/>
        <w:bottom w:val="none" w:sz="0" w:space="0" w:color="auto"/>
        <w:right w:val="none" w:sz="0" w:space="0" w:color="auto"/>
      </w:divBdr>
    </w:div>
    <w:div w:id="332296064">
      <w:bodyDiv w:val="1"/>
      <w:marLeft w:val="0"/>
      <w:marRight w:val="0"/>
      <w:marTop w:val="0"/>
      <w:marBottom w:val="0"/>
      <w:divBdr>
        <w:top w:val="none" w:sz="0" w:space="0" w:color="auto"/>
        <w:left w:val="none" w:sz="0" w:space="0" w:color="auto"/>
        <w:bottom w:val="none" w:sz="0" w:space="0" w:color="auto"/>
        <w:right w:val="none" w:sz="0" w:space="0" w:color="auto"/>
      </w:divBdr>
    </w:div>
    <w:div w:id="455568290">
      <w:bodyDiv w:val="1"/>
      <w:marLeft w:val="0"/>
      <w:marRight w:val="0"/>
      <w:marTop w:val="0"/>
      <w:marBottom w:val="0"/>
      <w:divBdr>
        <w:top w:val="none" w:sz="0" w:space="0" w:color="auto"/>
        <w:left w:val="none" w:sz="0" w:space="0" w:color="auto"/>
        <w:bottom w:val="none" w:sz="0" w:space="0" w:color="auto"/>
        <w:right w:val="none" w:sz="0" w:space="0" w:color="auto"/>
      </w:divBdr>
    </w:div>
    <w:div w:id="534122009">
      <w:bodyDiv w:val="1"/>
      <w:marLeft w:val="0"/>
      <w:marRight w:val="0"/>
      <w:marTop w:val="0"/>
      <w:marBottom w:val="0"/>
      <w:divBdr>
        <w:top w:val="none" w:sz="0" w:space="0" w:color="auto"/>
        <w:left w:val="none" w:sz="0" w:space="0" w:color="auto"/>
        <w:bottom w:val="none" w:sz="0" w:space="0" w:color="auto"/>
        <w:right w:val="none" w:sz="0" w:space="0" w:color="auto"/>
      </w:divBdr>
    </w:div>
    <w:div w:id="557782520">
      <w:bodyDiv w:val="1"/>
      <w:marLeft w:val="0"/>
      <w:marRight w:val="0"/>
      <w:marTop w:val="0"/>
      <w:marBottom w:val="0"/>
      <w:divBdr>
        <w:top w:val="none" w:sz="0" w:space="0" w:color="auto"/>
        <w:left w:val="none" w:sz="0" w:space="0" w:color="auto"/>
        <w:bottom w:val="none" w:sz="0" w:space="0" w:color="auto"/>
        <w:right w:val="none" w:sz="0" w:space="0" w:color="auto"/>
      </w:divBdr>
    </w:div>
    <w:div w:id="568809947">
      <w:bodyDiv w:val="1"/>
      <w:marLeft w:val="0"/>
      <w:marRight w:val="0"/>
      <w:marTop w:val="0"/>
      <w:marBottom w:val="0"/>
      <w:divBdr>
        <w:top w:val="none" w:sz="0" w:space="0" w:color="auto"/>
        <w:left w:val="none" w:sz="0" w:space="0" w:color="auto"/>
        <w:bottom w:val="none" w:sz="0" w:space="0" w:color="auto"/>
        <w:right w:val="none" w:sz="0" w:space="0" w:color="auto"/>
      </w:divBdr>
    </w:div>
    <w:div w:id="626283399">
      <w:bodyDiv w:val="1"/>
      <w:marLeft w:val="0"/>
      <w:marRight w:val="0"/>
      <w:marTop w:val="0"/>
      <w:marBottom w:val="0"/>
      <w:divBdr>
        <w:top w:val="none" w:sz="0" w:space="0" w:color="auto"/>
        <w:left w:val="none" w:sz="0" w:space="0" w:color="auto"/>
        <w:bottom w:val="none" w:sz="0" w:space="0" w:color="auto"/>
        <w:right w:val="none" w:sz="0" w:space="0" w:color="auto"/>
      </w:divBdr>
    </w:div>
    <w:div w:id="662468612">
      <w:bodyDiv w:val="1"/>
      <w:marLeft w:val="0"/>
      <w:marRight w:val="0"/>
      <w:marTop w:val="0"/>
      <w:marBottom w:val="0"/>
      <w:divBdr>
        <w:top w:val="none" w:sz="0" w:space="0" w:color="auto"/>
        <w:left w:val="none" w:sz="0" w:space="0" w:color="auto"/>
        <w:bottom w:val="none" w:sz="0" w:space="0" w:color="auto"/>
        <w:right w:val="none" w:sz="0" w:space="0" w:color="auto"/>
      </w:divBdr>
    </w:div>
    <w:div w:id="737093492">
      <w:bodyDiv w:val="1"/>
      <w:marLeft w:val="0"/>
      <w:marRight w:val="0"/>
      <w:marTop w:val="0"/>
      <w:marBottom w:val="0"/>
      <w:divBdr>
        <w:top w:val="none" w:sz="0" w:space="0" w:color="auto"/>
        <w:left w:val="none" w:sz="0" w:space="0" w:color="auto"/>
        <w:bottom w:val="none" w:sz="0" w:space="0" w:color="auto"/>
        <w:right w:val="none" w:sz="0" w:space="0" w:color="auto"/>
      </w:divBdr>
    </w:div>
    <w:div w:id="850992762">
      <w:bodyDiv w:val="1"/>
      <w:marLeft w:val="0"/>
      <w:marRight w:val="0"/>
      <w:marTop w:val="0"/>
      <w:marBottom w:val="0"/>
      <w:divBdr>
        <w:top w:val="none" w:sz="0" w:space="0" w:color="auto"/>
        <w:left w:val="none" w:sz="0" w:space="0" w:color="auto"/>
        <w:bottom w:val="none" w:sz="0" w:space="0" w:color="auto"/>
        <w:right w:val="none" w:sz="0" w:space="0" w:color="auto"/>
      </w:divBdr>
    </w:div>
    <w:div w:id="955138795">
      <w:bodyDiv w:val="1"/>
      <w:marLeft w:val="0"/>
      <w:marRight w:val="0"/>
      <w:marTop w:val="0"/>
      <w:marBottom w:val="0"/>
      <w:divBdr>
        <w:top w:val="none" w:sz="0" w:space="0" w:color="auto"/>
        <w:left w:val="none" w:sz="0" w:space="0" w:color="auto"/>
        <w:bottom w:val="none" w:sz="0" w:space="0" w:color="auto"/>
        <w:right w:val="none" w:sz="0" w:space="0" w:color="auto"/>
      </w:divBdr>
    </w:div>
    <w:div w:id="1023941266">
      <w:bodyDiv w:val="1"/>
      <w:marLeft w:val="0"/>
      <w:marRight w:val="0"/>
      <w:marTop w:val="0"/>
      <w:marBottom w:val="0"/>
      <w:divBdr>
        <w:top w:val="none" w:sz="0" w:space="0" w:color="auto"/>
        <w:left w:val="none" w:sz="0" w:space="0" w:color="auto"/>
        <w:bottom w:val="none" w:sz="0" w:space="0" w:color="auto"/>
        <w:right w:val="none" w:sz="0" w:space="0" w:color="auto"/>
      </w:divBdr>
    </w:div>
    <w:div w:id="1082215141">
      <w:bodyDiv w:val="1"/>
      <w:marLeft w:val="0"/>
      <w:marRight w:val="0"/>
      <w:marTop w:val="0"/>
      <w:marBottom w:val="0"/>
      <w:divBdr>
        <w:top w:val="none" w:sz="0" w:space="0" w:color="auto"/>
        <w:left w:val="none" w:sz="0" w:space="0" w:color="auto"/>
        <w:bottom w:val="none" w:sz="0" w:space="0" w:color="auto"/>
        <w:right w:val="none" w:sz="0" w:space="0" w:color="auto"/>
      </w:divBdr>
    </w:div>
    <w:div w:id="1181626694">
      <w:bodyDiv w:val="1"/>
      <w:marLeft w:val="0"/>
      <w:marRight w:val="0"/>
      <w:marTop w:val="0"/>
      <w:marBottom w:val="0"/>
      <w:divBdr>
        <w:top w:val="none" w:sz="0" w:space="0" w:color="auto"/>
        <w:left w:val="none" w:sz="0" w:space="0" w:color="auto"/>
        <w:bottom w:val="none" w:sz="0" w:space="0" w:color="auto"/>
        <w:right w:val="none" w:sz="0" w:space="0" w:color="auto"/>
      </w:divBdr>
    </w:div>
    <w:div w:id="1269240666">
      <w:bodyDiv w:val="1"/>
      <w:marLeft w:val="0"/>
      <w:marRight w:val="0"/>
      <w:marTop w:val="0"/>
      <w:marBottom w:val="0"/>
      <w:divBdr>
        <w:top w:val="none" w:sz="0" w:space="0" w:color="auto"/>
        <w:left w:val="none" w:sz="0" w:space="0" w:color="auto"/>
        <w:bottom w:val="none" w:sz="0" w:space="0" w:color="auto"/>
        <w:right w:val="none" w:sz="0" w:space="0" w:color="auto"/>
      </w:divBdr>
    </w:div>
    <w:div w:id="1315987824">
      <w:bodyDiv w:val="1"/>
      <w:marLeft w:val="0"/>
      <w:marRight w:val="0"/>
      <w:marTop w:val="0"/>
      <w:marBottom w:val="0"/>
      <w:divBdr>
        <w:top w:val="none" w:sz="0" w:space="0" w:color="auto"/>
        <w:left w:val="none" w:sz="0" w:space="0" w:color="auto"/>
        <w:bottom w:val="none" w:sz="0" w:space="0" w:color="auto"/>
        <w:right w:val="none" w:sz="0" w:space="0" w:color="auto"/>
      </w:divBdr>
    </w:div>
    <w:div w:id="1410619906">
      <w:bodyDiv w:val="1"/>
      <w:marLeft w:val="0"/>
      <w:marRight w:val="0"/>
      <w:marTop w:val="0"/>
      <w:marBottom w:val="0"/>
      <w:divBdr>
        <w:top w:val="none" w:sz="0" w:space="0" w:color="auto"/>
        <w:left w:val="none" w:sz="0" w:space="0" w:color="auto"/>
        <w:bottom w:val="none" w:sz="0" w:space="0" w:color="auto"/>
        <w:right w:val="none" w:sz="0" w:space="0" w:color="auto"/>
      </w:divBdr>
    </w:div>
    <w:div w:id="1434322429">
      <w:bodyDiv w:val="1"/>
      <w:marLeft w:val="0"/>
      <w:marRight w:val="0"/>
      <w:marTop w:val="0"/>
      <w:marBottom w:val="0"/>
      <w:divBdr>
        <w:top w:val="none" w:sz="0" w:space="0" w:color="auto"/>
        <w:left w:val="none" w:sz="0" w:space="0" w:color="auto"/>
        <w:bottom w:val="none" w:sz="0" w:space="0" w:color="auto"/>
        <w:right w:val="none" w:sz="0" w:space="0" w:color="auto"/>
      </w:divBdr>
    </w:div>
    <w:div w:id="1473061871">
      <w:bodyDiv w:val="1"/>
      <w:marLeft w:val="0"/>
      <w:marRight w:val="0"/>
      <w:marTop w:val="0"/>
      <w:marBottom w:val="0"/>
      <w:divBdr>
        <w:top w:val="none" w:sz="0" w:space="0" w:color="auto"/>
        <w:left w:val="none" w:sz="0" w:space="0" w:color="auto"/>
        <w:bottom w:val="none" w:sz="0" w:space="0" w:color="auto"/>
        <w:right w:val="none" w:sz="0" w:space="0" w:color="auto"/>
      </w:divBdr>
    </w:div>
    <w:div w:id="1521167790">
      <w:bodyDiv w:val="1"/>
      <w:marLeft w:val="0"/>
      <w:marRight w:val="0"/>
      <w:marTop w:val="0"/>
      <w:marBottom w:val="0"/>
      <w:divBdr>
        <w:top w:val="none" w:sz="0" w:space="0" w:color="auto"/>
        <w:left w:val="none" w:sz="0" w:space="0" w:color="auto"/>
        <w:bottom w:val="none" w:sz="0" w:space="0" w:color="auto"/>
        <w:right w:val="none" w:sz="0" w:space="0" w:color="auto"/>
      </w:divBdr>
    </w:div>
    <w:div w:id="19133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65N5PURSY6TZ-1575908691-352</_dlc_DocId>
    <_dlc_DocIdUrl xmlns="d2813aac-6709-4c27-9c90-71a57cea646f">
      <Url>https://memopoint.yourict.be/dep/com/_layouts/15/DocIdRedir.aspx?ID=65N5PURSY6TZ-1575908691-352</Url>
      <Description>65N5PURSY6TZ-1575908691-352</Description>
    </_dlc_DocIdUrl>
    <testurl xmlns="240484d1-ed06-403a-9cfd-a57903cb7e47">
      <Url xsi:nil="true"/>
      <Description xsi:nil="true"/>
    </testurl>
  </documentManagement>
</p:properties>
</file>

<file path=customXml/item5.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https://memopoint.yourict.be/dep</xsnScope>
</customXsn>
</file>

<file path=customXml/itemProps1.xml><?xml version="1.0" encoding="utf-8"?>
<ds:datastoreItem xmlns:ds="http://schemas.openxmlformats.org/officeDocument/2006/customXml" ds:itemID="{E472562E-934C-48AA-8CFE-F9B6EA5E1194}">
  <ds:schemaRefs>
    <ds:schemaRef ds:uri="http://schemas.openxmlformats.org/officeDocument/2006/bibliography"/>
  </ds:schemaRefs>
</ds:datastoreItem>
</file>

<file path=customXml/itemProps2.xml><?xml version="1.0" encoding="utf-8"?>
<ds:datastoreItem xmlns:ds="http://schemas.openxmlformats.org/officeDocument/2006/customXml" ds:itemID="{1C4873EB-544D-4D27-8A7F-89FD705DFC00}">
  <ds:schemaRefs>
    <ds:schemaRef ds:uri="http://schemas.microsoft.com/sharepoint/events"/>
  </ds:schemaRefs>
</ds:datastoreItem>
</file>

<file path=customXml/itemProps3.xml><?xml version="1.0" encoding="utf-8"?>
<ds:datastoreItem xmlns:ds="http://schemas.openxmlformats.org/officeDocument/2006/customXml" ds:itemID="{FD2F49B1-01EA-481B-B056-1EFBF2E97010}">
  <ds:schemaRefs>
    <ds:schemaRef ds:uri="http://schemas.microsoft.com/sharepoint/v3/contenttype/forms"/>
  </ds:schemaRefs>
</ds:datastoreItem>
</file>

<file path=customXml/itemProps4.xml><?xml version="1.0" encoding="utf-8"?>
<ds:datastoreItem xmlns:ds="http://schemas.openxmlformats.org/officeDocument/2006/customXml" ds:itemID="{F2B28FA6-582A-4795-9D17-68A17F136BCB}">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5.xml><?xml version="1.0" encoding="utf-8"?>
<ds:datastoreItem xmlns:ds="http://schemas.openxmlformats.org/officeDocument/2006/customXml" ds:itemID="{51E9E291-F693-4140-ADFB-E2BD8803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2FCA4F-5897-4BFC-B7C2-DCAEA9F2579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1402</Words>
  <Characters>8777</Characters>
  <Application>Microsoft Office Word</Application>
  <DocSecurity>0</DocSecurity>
  <Lines>230</Lines>
  <Paragraphs>161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oneliner</cp:lastModifiedBy>
  <cp:revision>82</cp:revision>
  <dcterms:created xsi:type="dcterms:W3CDTF">2025-06-25T11:41:00Z</dcterms:created>
  <dcterms:modified xsi:type="dcterms:W3CDTF">2025-07-09T14:35:00Z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87f32b3e-3d2a-4f8c-b7f0-5a84e9d97111</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