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114"/>
        <w:gridCol w:w="4182"/>
      </w:tblGrid>
      <w:tr w:rsidR="007B45B4" w14:paraId="4E05177C" w14:textId="77777777" w:rsidTr="00355B4E">
        <w:tc>
          <w:tcPr>
            <w:tcW w:w="4114" w:type="dxa"/>
            <w:tcBorders>
              <w:top w:val="single" w:sz="4" w:space="0" w:color="auto"/>
              <w:left w:val="single" w:sz="4" w:space="0" w:color="auto"/>
              <w:bottom w:val="nil"/>
              <w:right w:val="nil"/>
            </w:tcBorders>
          </w:tcPr>
          <w:p w14:paraId="1D91460D" w14:textId="77777777" w:rsidR="007B45B4" w:rsidRDefault="007B45B4" w:rsidP="00355B4E">
            <w:r w:rsidRPr="00046002">
              <w:rPr>
                <w:b/>
                <w:noProof/>
                <w:sz w:val="28"/>
                <w:szCs w:val="28"/>
              </w:rPr>
              <w:drawing>
                <wp:inline distT="0" distB="0" distL="0" distR="0" wp14:anchorId="766D2334" wp14:editId="2B3F193E">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693915C5" w14:textId="77777777" w:rsidR="007B45B4" w:rsidRDefault="007B45B4" w:rsidP="00355B4E">
            <w:r>
              <w:rPr>
                <w:noProof/>
              </w:rPr>
              <w:drawing>
                <wp:inline distT="0" distB="0" distL="0" distR="0" wp14:anchorId="320B72B1" wp14:editId="7C3BC99D">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7B45B4" w14:paraId="721FFC15" w14:textId="77777777" w:rsidTr="00355B4E">
        <w:tc>
          <w:tcPr>
            <w:tcW w:w="4114" w:type="dxa"/>
            <w:tcBorders>
              <w:top w:val="nil"/>
              <w:left w:val="single" w:sz="4" w:space="0" w:color="auto"/>
              <w:bottom w:val="nil"/>
              <w:right w:val="nil"/>
            </w:tcBorders>
          </w:tcPr>
          <w:p w14:paraId="3462BF9F" w14:textId="77777777" w:rsidR="007B45B4" w:rsidRDefault="007B45B4" w:rsidP="00355B4E">
            <w:r>
              <w:rPr>
                <w:noProof/>
              </w:rPr>
              <w:drawing>
                <wp:inline distT="0" distB="0" distL="0" distR="0" wp14:anchorId="1CB279A8" wp14:editId="05F1F1FC">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B5E0CDB" w14:textId="77777777" w:rsidR="007B45B4" w:rsidRDefault="007B45B4" w:rsidP="00355B4E">
            <w:r>
              <w:rPr>
                <w:noProof/>
              </w:rPr>
              <w:drawing>
                <wp:inline distT="0" distB="0" distL="0" distR="0" wp14:anchorId="2DDCFCC2" wp14:editId="11D95866">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7B45B4" w14:paraId="05A6A1D9" w14:textId="77777777" w:rsidTr="00355B4E">
        <w:tc>
          <w:tcPr>
            <w:tcW w:w="4114" w:type="dxa"/>
            <w:tcBorders>
              <w:top w:val="nil"/>
              <w:left w:val="single" w:sz="4" w:space="0" w:color="auto"/>
              <w:bottom w:val="nil"/>
              <w:right w:val="nil"/>
            </w:tcBorders>
          </w:tcPr>
          <w:p w14:paraId="50169941" w14:textId="77777777" w:rsidR="007B45B4" w:rsidRDefault="007B45B4" w:rsidP="00355B4E">
            <w:r>
              <w:rPr>
                <w:noProof/>
              </w:rPr>
              <w:drawing>
                <wp:inline distT="0" distB="0" distL="0" distR="0" wp14:anchorId="5A210430" wp14:editId="3FAA9C0D">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0E02348C" w14:textId="77777777" w:rsidR="007B45B4" w:rsidRDefault="007B45B4" w:rsidP="00355B4E">
            <w:r>
              <w:rPr>
                <w:noProof/>
              </w:rPr>
              <w:drawing>
                <wp:inline distT="0" distB="0" distL="0" distR="0" wp14:anchorId="0F3166CF" wp14:editId="7541BCA2">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7B45B4" w14:paraId="64582140" w14:textId="77777777" w:rsidTr="00355B4E">
        <w:tc>
          <w:tcPr>
            <w:tcW w:w="8296" w:type="dxa"/>
            <w:gridSpan w:val="2"/>
            <w:tcBorders>
              <w:top w:val="nil"/>
              <w:left w:val="single" w:sz="4" w:space="0" w:color="auto"/>
              <w:bottom w:val="single" w:sz="4" w:space="0" w:color="auto"/>
              <w:right w:val="single" w:sz="4" w:space="0" w:color="auto"/>
            </w:tcBorders>
          </w:tcPr>
          <w:p w14:paraId="649BC424" w14:textId="77777777" w:rsidR="007B45B4" w:rsidRDefault="007B45B4" w:rsidP="00355B4E">
            <w:pPr>
              <w:pStyle w:val="NormalWeb"/>
            </w:pPr>
            <w:r>
              <w:rPr>
                <w:rFonts w:ascii="Arial" w:hAnsi="Arial" w:cs="Arial"/>
                <w:b/>
                <w:bCs/>
                <w:sz w:val="20"/>
                <w:szCs w:val="20"/>
              </w:rPr>
              <w:br/>
            </w:r>
            <w:r>
              <w:rPr>
                <w:noProof/>
              </w:rPr>
              <w:drawing>
                <wp:inline distT="0" distB="0" distL="0" distR="0" wp14:anchorId="75EE7DD9" wp14:editId="595ED65B">
                  <wp:extent cx="3352800" cy="8426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655" cy="852410"/>
                          </a:xfrm>
                          <a:prstGeom prst="rect">
                            <a:avLst/>
                          </a:prstGeom>
                          <a:noFill/>
                          <a:ln>
                            <a:noFill/>
                          </a:ln>
                        </pic:spPr>
                      </pic:pic>
                    </a:graphicData>
                  </a:graphic>
                </wp:inline>
              </w:drawing>
            </w:r>
          </w:p>
          <w:p w14:paraId="46C08FC4" w14:textId="77777777" w:rsidR="007B45B4" w:rsidRDefault="007B45B4" w:rsidP="00355B4E"/>
        </w:tc>
      </w:tr>
    </w:tbl>
    <w:p w14:paraId="2400864B" w14:textId="77777777" w:rsidR="007B45B4" w:rsidRDefault="007B45B4" w:rsidP="007B45B4"/>
    <w:p w14:paraId="0B866759" w14:textId="4E06B314" w:rsidR="00832089" w:rsidRPr="00832089" w:rsidRDefault="00832089" w:rsidP="007B45B4">
      <w:pPr>
        <w:rPr>
          <w:b/>
          <w:bCs/>
          <w:color w:val="FF0000"/>
          <w:lang w:val="nl-BE"/>
        </w:rPr>
      </w:pPr>
      <w:r w:rsidRPr="00832089">
        <w:rPr>
          <w:b/>
          <w:bCs/>
          <w:color w:val="FF0000"/>
          <w:lang w:val="nl-BE"/>
        </w:rPr>
        <w:t xml:space="preserve">Vertaling naar het Nederlands </w:t>
      </w:r>
      <w:r>
        <w:rPr>
          <w:b/>
          <w:bCs/>
          <w:color w:val="FF0000"/>
          <w:lang w:val="nl-BE"/>
        </w:rPr>
        <w:t>met</w:t>
      </w:r>
      <w:r w:rsidRPr="00832089">
        <w:rPr>
          <w:b/>
          <w:bCs/>
          <w:color w:val="FF0000"/>
          <w:lang w:val="nl-BE"/>
        </w:rPr>
        <w:t xml:space="preserve"> </w:t>
      </w:r>
      <w:proofErr w:type="spellStart"/>
      <w:r w:rsidRPr="00832089">
        <w:rPr>
          <w:b/>
          <w:bCs/>
          <w:color w:val="FF0000"/>
          <w:lang w:val="nl-BE"/>
        </w:rPr>
        <w:t>DeepL</w:t>
      </w:r>
      <w:proofErr w:type="spellEnd"/>
      <w:r w:rsidRPr="00832089">
        <w:rPr>
          <w:b/>
          <w:bCs/>
          <w:color w:val="FF0000"/>
          <w:lang w:val="nl-BE"/>
        </w:rPr>
        <w:t xml:space="preserve">, zonder herlezing </w:t>
      </w:r>
    </w:p>
    <w:p w14:paraId="432CB041" w14:textId="77777777" w:rsidR="007B45B4" w:rsidRPr="00A52C2C" w:rsidRDefault="007B45B4" w:rsidP="007B45B4"/>
    <w:p w14:paraId="2472929E" w14:textId="53CC6C7F" w:rsidR="007B45B4" w:rsidRPr="00A52C2C" w:rsidRDefault="007B45B4" w:rsidP="007B45B4">
      <w:pPr>
        <w:spacing w:after="120"/>
        <w:jc w:val="both"/>
      </w:pPr>
      <w:r w:rsidRPr="00A52C2C">
        <w:t>Advies nr.</w:t>
      </w:r>
      <w:r w:rsidR="00932824">
        <w:t xml:space="preserve"> 2025/21 </w:t>
      </w:r>
      <w:r w:rsidRPr="00A52C2C">
        <w:t xml:space="preserve">van de Nationale Hoge Raad voor Personen met een Handicap (CSNPH) en het Platform van adviesraden voor </w:t>
      </w:r>
      <w:r>
        <w:t xml:space="preserve">personen met een handicap </w:t>
      </w:r>
      <w:r w:rsidRPr="00A52C2C">
        <w:t xml:space="preserve">(hierna "Platform" genoemd) betreffende de omzetting in Belgisch recht </w:t>
      </w:r>
      <w:r>
        <w:t xml:space="preserve">en de inwerkingtreding </w:t>
      </w:r>
      <w:r w:rsidRPr="00A52C2C">
        <w:t xml:space="preserve">van de </w:t>
      </w:r>
      <w:r w:rsidR="007355E9" w:rsidRPr="007355E9">
        <w:t>Europese richtlijn (EU) 2019/882 betreffende de toegankelijkheidseisen voor producten en diensten, beter bekend als de European Accessibility Act (EAA) (</w:t>
      </w:r>
      <w:r>
        <w:t>hierna "</w:t>
      </w:r>
      <w:r w:rsidR="00A138D1">
        <w:t>EAA-richtlijn</w:t>
      </w:r>
      <w:r>
        <w:t>"</w:t>
      </w:r>
      <w:r w:rsidR="00A138D1">
        <w:t xml:space="preserve"> genoemd</w:t>
      </w:r>
      <w:r>
        <w:t>).</w:t>
      </w:r>
    </w:p>
    <w:p w14:paraId="5A6F8B8B" w14:textId="686C73D4" w:rsidR="007B45B4" w:rsidRDefault="007B45B4" w:rsidP="007B45B4">
      <w:pPr>
        <w:spacing w:after="120"/>
        <w:jc w:val="both"/>
      </w:pPr>
      <w:r w:rsidRPr="00A52C2C">
        <w:t xml:space="preserve">Advies uitgebracht </w:t>
      </w:r>
      <w:r>
        <w:t xml:space="preserve">op initiatief van </w:t>
      </w:r>
      <w:r w:rsidRPr="00A52C2C">
        <w:t>het Platform.</w:t>
      </w:r>
    </w:p>
    <w:p w14:paraId="06432F15" w14:textId="77777777" w:rsidR="007B45B4" w:rsidRPr="00090E69" w:rsidRDefault="007B45B4" w:rsidP="007B45B4">
      <w:pPr>
        <w:jc w:val="both"/>
      </w:pPr>
      <w:r w:rsidRPr="00A52C2C">
        <w:t xml:space="preserve">Advies </w:t>
      </w:r>
      <w:r w:rsidRPr="00090E69">
        <w:t xml:space="preserve">uitgebracht namens het Platform en meer bepaald: </w:t>
      </w:r>
    </w:p>
    <w:p w14:paraId="5A71EA61" w14:textId="77777777" w:rsidR="007B45B4" w:rsidRPr="00090E69" w:rsidRDefault="007B45B4" w:rsidP="007B45B4">
      <w:pPr>
        <w:pStyle w:val="Paragraphedeliste"/>
        <w:numPr>
          <w:ilvl w:val="0"/>
          <w:numId w:val="2"/>
        </w:numPr>
        <w:jc w:val="both"/>
      </w:pPr>
      <w:r w:rsidRPr="00090E69">
        <w:t xml:space="preserve">Waals Adviesraad voor personen met een handicap </w:t>
      </w:r>
    </w:p>
    <w:p w14:paraId="5F397C74" w14:textId="77777777" w:rsidR="007B45B4" w:rsidRPr="00090E69" w:rsidRDefault="007B45B4" w:rsidP="007B45B4">
      <w:pPr>
        <w:pStyle w:val="Paragraphedeliste"/>
        <w:numPr>
          <w:ilvl w:val="0"/>
          <w:numId w:val="2"/>
        </w:numPr>
        <w:jc w:val="both"/>
        <w:rPr>
          <w:lang w:val="nl-BE"/>
        </w:rPr>
      </w:pPr>
      <w:r w:rsidRPr="00090E69">
        <w:rPr>
          <w:lang w:val="nl-BE"/>
        </w:rPr>
        <w:t>NOOZO – Vlaamse adviesraad voor en door personen met een handicap</w:t>
      </w:r>
    </w:p>
    <w:p w14:paraId="3B685997" w14:textId="77777777" w:rsidR="007B45B4" w:rsidRPr="00090E69" w:rsidRDefault="007B45B4" w:rsidP="007B45B4">
      <w:pPr>
        <w:pStyle w:val="Paragraphedeliste"/>
        <w:numPr>
          <w:ilvl w:val="0"/>
          <w:numId w:val="2"/>
        </w:numPr>
        <w:jc w:val="both"/>
      </w:pPr>
      <w:r w:rsidRPr="00090E69">
        <w:t>Brusselse Adviesraad voor personen met een handicap</w:t>
      </w:r>
    </w:p>
    <w:p w14:paraId="2D41BB77" w14:textId="77777777" w:rsidR="007B45B4" w:rsidRPr="00090E69" w:rsidRDefault="007B45B4" w:rsidP="007B45B4">
      <w:pPr>
        <w:pStyle w:val="Paragraphedeliste"/>
        <w:numPr>
          <w:ilvl w:val="0"/>
          <w:numId w:val="2"/>
        </w:numPr>
        <w:jc w:val="both"/>
      </w:pPr>
      <w:r w:rsidRPr="00090E69">
        <w:t xml:space="preserve">Nationale Hoge Raad voor Personen met een Handicap </w:t>
      </w:r>
    </w:p>
    <w:p w14:paraId="4DC19441" w14:textId="77777777" w:rsidR="007B45B4" w:rsidRPr="00090E69" w:rsidRDefault="007B45B4" w:rsidP="007B45B4">
      <w:pPr>
        <w:pStyle w:val="Paragraphedeliste"/>
        <w:numPr>
          <w:ilvl w:val="0"/>
          <w:numId w:val="2"/>
        </w:numPr>
        <w:jc w:val="both"/>
      </w:pPr>
      <w:r w:rsidRPr="00090E69">
        <w:t>Adviesraad voor personen met een handicap van de Franse Gemeenschap</w:t>
      </w:r>
    </w:p>
    <w:p w14:paraId="16615B28" w14:textId="3EFA6123" w:rsidR="007B45B4" w:rsidRPr="00090E69" w:rsidRDefault="007B45B4" w:rsidP="007B45B4">
      <w:pPr>
        <w:pStyle w:val="Paragraphedeliste"/>
        <w:numPr>
          <w:ilvl w:val="0"/>
          <w:numId w:val="2"/>
        </w:numPr>
        <w:jc w:val="both"/>
        <w:rPr>
          <w:lang w:val="de-DE"/>
        </w:rPr>
      </w:pPr>
      <w:r w:rsidRPr="00090E69">
        <w:rPr>
          <w:lang w:val="de-DE"/>
        </w:rPr>
        <w:t>Beirat für Menschen mit Beeinträchtigung – Raad van de Duitstalige Gemeenschap</w:t>
      </w:r>
    </w:p>
    <w:p w14:paraId="2FF2C355" w14:textId="6CD059AA" w:rsidR="007B45B4" w:rsidRPr="00090E69" w:rsidRDefault="00CB4551" w:rsidP="007B45B4">
      <w:pPr>
        <w:pStyle w:val="Paragraphedeliste"/>
        <w:numPr>
          <w:ilvl w:val="0"/>
          <w:numId w:val="2"/>
        </w:numPr>
        <w:jc w:val="both"/>
      </w:pPr>
      <w:r>
        <w:t>Belgian Disability Forum</w:t>
      </w:r>
      <w:r w:rsidR="007B45B4" w:rsidRPr="00090E69">
        <w:t xml:space="preserve"> </w:t>
      </w:r>
    </w:p>
    <w:p w14:paraId="0F3C5765" w14:textId="6F374BFD" w:rsidR="007B45B4" w:rsidRPr="00432996" w:rsidRDefault="007B45B4" w:rsidP="007B45B4">
      <w:pPr>
        <w:pStyle w:val="Paragraphedeliste"/>
        <w:jc w:val="both"/>
      </w:pPr>
    </w:p>
    <w:p w14:paraId="18F1640F" w14:textId="77777777" w:rsidR="007B45B4" w:rsidRPr="00A52C2C" w:rsidRDefault="007B45B4" w:rsidP="007B45B4">
      <w:pPr>
        <w:ind w:left="720"/>
        <w:jc w:val="both"/>
      </w:pPr>
    </w:p>
    <w:p w14:paraId="7F9846EC" w14:textId="77777777" w:rsidR="007B45B4" w:rsidRPr="00A52C2C" w:rsidRDefault="007B45B4" w:rsidP="007B45B4">
      <w:pPr>
        <w:ind w:left="720"/>
        <w:jc w:val="both"/>
      </w:pPr>
    </w:p>
    <w:p w14:paraId="0FE5C3C6" w14:textId="77777777" w:rsidR="007B45B4" w:rsidRPr="00A52C2C" w:rsidRDefault="007B45B4" w:rsidP="007B45B4">
      <w:pPr>
        <w:ind w:left="720"/>
        <w:jc w:val="both"/>
      </w:pPr>
    </w:p>
    <w:p w14:paraId="7C94361A" w14:textId="77777777" w:rsidR="007B45B4" w:rsidRPr="00A52C2C" w:rsidRDefault="007B45B4" w:rsidP="007B45B4">
      <w:pPr>
        <w:numPr>
          <w:ilvl w:val="0"/>
          <w:numId w:val="1"/>
        </w:numPr>
        <w:jc w:val="both"/>
        <w:outlineLvl w:val="0"/>
        <w:rPr>
          <w:b/>
          <w:u w:val="single"/>
        </w:rPr>
      </w:pPr>
      <w:r w:rsidRPr="00A52C2C">
        <w:rPr>
          <w:b/>
          <w:u w:val="single"/>
        </w:rPr>
        <w:t xml:space="preserve">ADVIES BESTEMD VOOR </w:t>
      </w:r>
    </w:p>
    <w:p w14:paraId="5CEC85F8" w14:textId="77777777" w:rsidR="007B45B4" w:rsidRPr="00A52C2C" w:rsidRDefault="007B45B4" w:rsidP="007B45B4">
      <w:pPr>
        <w:jc w:val="both"/>
        <w:rPr>
          <w:b/>
          <w:u w:val="single"/>
        </w:rPr>
      </w:pPr>
    </w:p>
    <w:p w14:paraId="0559FE04" w14:textId="6B1BE869" w:rsidR="007B45B4" w:rsidRPr="007B45B4" w:rsidRDefault="007B45B4" w:rsidP="007B45B4">
      <w:pPr>
        <w:numPr>
          <w:ilvl w:val="1"/>
          <w:numId w:val="1"/>
        </w:numPr>
        <w:jc w:val="both"/>
        <w:outlineLvl w:val="1"/>
        <w:rPr>
          <w:b/>
          <w:u w:val="single"/>
        </w:rPr>
      </w:pPr>
      <w:r w:rsidRPr="00A52C2C">
        <w:t xml:space="preserve">Ter verdere afhandeling door </w:t>
      </w:r>
      <w:r>
        <w:t>de heer David Clarinval</w:t>
      </w:r>
      <w:r w:rsidRPr="00A52C2C">
        <w:t xml:space="preserve">, minister </w:t>
      </w:r>
      <w:r>
        <w:t>van Werkgelegenheid, Economie en Landbouw</w:t>
      </w:r>
    </w:p>
    <w:p w14:paraId="78DC651D" w14:textId="7A50B5C3" w:rsidR="007B45B4" w:rsidRPr="002E28BD" w:rsidRDefault="007B45B4" w:rsidP="007B45B4">
      <w:pPr>
        <w:numPr>
          <w:ilvl w:val="1"/>
          <w:numId w:val="1"/>
        </w:numPr>
        <w:jc w:val="both"/>
        <w:outlineLvl w:val="1"/>
        <w:rPr>
          <w:b/>
          <w:u w:val="single"/>
        </w:rPr>
      </w:pPr>
      <w:r w:rsidRPr="00A52C2C">
        <w:t xml:space="preserve">Ter informatie aan </w:t>
      </w:r>
      <w:r>
        <w:t xml:space="preserve">de heer </w:t>
      </w:r>
      <w:r w:rsidRPr="00A52C2C">
        <w:t xml:space="preserve">Rob Beenders, minister </w:t>
      </w:r>
      <w:r>
        <w:t>van Consumentenbescherming, Bestrijding van Sociale Fraude, Personen met een handicap en Gelijke Kansen</w:t>
      </w:r>
    </w:p>
    <w:p w14:paraId="3A200A90" w14:textId="77777777" w:rsidR="007B45B4" w:rsidRPr="00443FC2" w:rsidRDefault="007B45B4" w:rsidP="007B45B4">
      <w:pPr>
        <w:numPr>
          <w:ilvl w:val="1"/>
          <w:numId w:val="1"/>
        </w:numPr>
        <w:jc w:val="both"/>
        <w:outlineLvl w:val="1"/>
        <w:rPr>
          <w:b/>
          <w:u w:val="single"/>
        </w:rPr>
      </w:pPr>
      <w:r>
        <w:t xml:space="preserve">Ter kennis van de ministers die bevoegd zijn voor personen met een handicap in de gefedereerde entiteiten </w:t>
      </w:r>
    </w:p>
    <w:p w14:paraId="77647B0B" w14:textId="73F23030" w:rsidR="00443FC2" w:rsidRPr="00AF231F" w:rsidRDefault="00443FC2" w:rsidP="007B45B4">
      <w:pPr>
        <w:numPr>
          <w:ilvl w:val="1"/>
          <w:numId w:val="1"/>
        </w:numPr>
        <w:jc w:val="both"/>
        <w:outlineLvl w:val="1"/>
        <w:rPr>
          <w:b/>
          <w:u w:val="single"/>
        </w:rPr>
      </w:pPr>
      <w:r>
        <w:t>Ter informatie aan de verschillende overheidsdiensten die betrokken zijn bij de controleprocedures voor de uitvoering (zie de lijst onder punt 2)</w:t>
      </w:r>
    </w:p>
    <w:p w14:paraId="7A42080E" w14:textId="77777777" w:rsidR="007B45B4" w:rsidRPr="00AF231F" w:rsidRDefault="007B45B4" w:rsidP="007B45B4">
      <w:pPr>
        <w:numPr>
          <w:ilvl w:val="1"/>
          <w:numId w:val="1"/>
        </w:numPr>
        <w:jc w:val="both"/>
        <w:outlineLvl w:val="1"/>
        <w:rPr>
          <w:b/>
          <w:u w:val="single"/>
        </w:rPr>
      </w:pPr>
      <w:r w:rsidRPr="00A52C2C">
        <w:t xml:space="preserve">Ter informatie aan de heer </w:t>
      </w:r>
      <w:r>
        <w:t>Bart De Wever</w:t>
      </w:r>
      <w:r w:rsidRPr="00A52C2C">
        <w:t>, premier</w:t>
      </w:r>
    </w:p>
    <w:p w14:paraId="523C07CE" w14:textId="77777777" w:rsidR="007B45B4" w:rsidRPr="00A52C2C" w:rsidRDefault="007B45B4" w:rsidP="007B45B4">
      <w:pPr>
        <w:numPr>
          <w:ilvl w:val="1"/>
          <w:numId w:val="1"/>
        </w:numPr>
        <w:jc w:val="both"/>
        <w:outlineLvl w:val="1"/>
      </w:pPr>
      <w:r w:rsidRPr="00A52C2C">
        <w:t xml:space="preserve">Ter informatie aan </w:t>
      </w:r>
      <w:r>
        <w:t>Unia</w:t>
      </w:r>
    </w:p>
    <w:p w14:paraId="64045A74" w14:textId="77777777" w:rsidR="007B45B4" w:rsidRPr="00A52C2C" w:rsidRDefault="007B45B4" w:rsidP="007B45B4">
      <w:pPr>
        <w:numPr>
          <w:ilvl w:val="1"/>
          <w:numId w:val="1"/>
        </w:numPr>
        <w:jc w:val="both"/>
        <w:outlineLvl w:val="1"/>
      </w:pPr>
      <w:r w:rsidRPr="00A52C2C">
        <w:t>Ter informatie aan het coördinatiemechanisme van het UNCRPD</w:t>
      </w:r>
    </w:p>
    <w:p w14:paraId="160EEE35" w14:textId="77777777" w:rsidR="007B45B4" w:rsidRPr="00A52C2C" w:rsidRDefault="007B45B4" w:rsidP="007B45B4">
      <w:pPr>
        <w:numPr>
          <w:ilvl w:val="1"/>
          <w:numId w:val="1"/>
        </w:numPr>
        <w:jc w:val="both"/>
        <w:outlineLvl w:val="1"/>
      </w:pPr>
      <w:r w:rsidRPr="00A52C2C">
        <w:t>Ter informatie aan de federale ombudsman</w:t>
      </w:r>
    </w:p>
    <w:p w14:paraId="55D52777" w14:textId="77777777" w:rsidR="007B45B4" w:rsidRPr="00A52C2C" w:rsidRDefault="007B45B4" w:rsidP="007B45B4">
      <w:pPr>
        <w:ind w:left="360"/>
        <w:jc w:val="both"/>
        <w:outlineLvl w:val="0"/>
        <w:rPr>
          <w:b/>
        </w:rPr>
      </w:pPr>
    </w:p>
    <w:p w14:paraId="6D57F39E" w14:textId="77777777" w:rsidR="007B45B4" w:rsidRPr="00A52C2C" w:rsidRDefault="007B45B4" w:rsidP="007B45B4">
      <w:pPr>
        <w:ind w:left="360"/>
        <w:jc w:val="both"/>
        <w:outlineLvl w:val="0"/>
        <w:rPr>
          <w:b/>
        </w:rPr>
      </w:pPr>
    </w:p>
    <w:p w14:paraId="6229EA1C" w14:textId="77777777" w:rsidR="007B45B4" w:rsidRPr="00A52C2C" w:rsidRDefault="007B45B4" w:rsidP="007B45B4">
      <w:pPr>
        <w:numPr>
          <w:ilvl w:val="0"/>
          <w:numId w:val="1"/>
        </w:numPr>
        <w:jc w:val="both"/>
        <w:outlineLvl w:val="0"/>
        <w:rPr>
          <w:b/>
        </w:rPr>
      </w:pPr>
      <w:r w:rsidRPr="00A52C2C">
        <w:rPr>
          <w:b/>
          <w:u w:val="single"/>
        </w:rPr>
        <w:t xml:space="preserve">ONDERWERP </w:t>
      </w:r>
    </w:p>
    <w:p w14:paraId="7D071BCB" w14:textId="77777777" w:rsidR="007B45B4" w:rsidRPr="00A52C2C" w:rsidRDefault="007B45B4" w:rsidP="007B45B4">
      <w:pPr>
        <w:jc w:val="both"/>
        <w:rPr>
          <w:bCs/>
        </w:rPr>
      </w:pPr>
    </w:p>
    <w:p w14:paraId="14C242F8" w14:textId="7BB58692" w:rsidR="007B45B4" w:rsidRDefault="007B45B4" w:rsidP="007B45B4">
      <w:pPr>
        <w:spacing w:after="120"/>
        <w:jc w:val="both"/>
      </w:pPr>
      <w:r>
        <w:t>De Europese richtlijn inzake toegankelijkheid (European Accessibility Act – EAA) is op 28 juni 2025 in werking getreden.</w:t>
      </w:r>
    </w:p>
    <w:p w14:paraId="31A1A921" w14:textId="0C8410E2" w:rsidR="00CD4809" w:rsidRDefault="00CD4809" w:rsidP="007B45B4">
      <w:pPr>
        <w:spacing w:after="120"/>
        <w:jc w:val="both"/>
      </w:pPr>
      <w:r>
        <w:t>Deze richtlijn verplicht bedrijven om diensten en producten aan te bieden die voor iedereen toegankelijk, begrijpelijk en bruikbaar zijn.</w:t>
      </w:r>
    </w:p>
    <w:p w14:paraId="2A560272" w14:textId="07BC673E" w:rsidR="00CD4809" w:rsidRDefault="00CD4809" w:rsidP="007B45B4">
      <w:pPr>
        <w:spacing w:after="120"/>
        <w:jc w:val="both"/>
      </w:pPr>
      <w:r>
        <w:t xml:space="preserve">Dit geldt in het bijzonder voor: </w:t>
      </w:r>
    </w:p>
    <w:p w14:paraId="5D8D150B" w14:textId="77777777" w:rsidR="00183523" w:rsidRPr="00F22C38" w:rsidRDefault="00183523" w:rsidP="00183523">
      <w:pPr>
        <w:pStyle w:val="Paragraphedeliste"/>
        <w:numPr>
          <w:ilvl w:val="1"/>
          <w:numId w:val="7"/>
        </w:numPr>
        <w:spacing w:after="160" w:line="259" w:lineRule="auto"/>
        <w:rPr>
          <w:b/>
          <w:bCs/>
        </w:rPr>
      </w:pPr>
      <w:r w:rsidRPr="00F22C38">
        <w:rPr>
          <w:b/>
          <w:bCs/>
        </w:rPr>
        <w:t>Producten:</w:t>
      </w:r>
    </w:p>
    <w:p w14:paraId="6A8F2F6F" w14:textId="77777777" w:rsidR="006A4276" w:rsidRPr="00F22C38" w:rsidRDefault="006A4276" w:rsidP="006A4276">
      <w:pPr>
        <w:pStyle w:val="Paragraphedeliste"/>
        <w:numPr>
          <w:ilvl w:val="2"/>
          <w:numId w:val="7"/>
        </w:numPr>
        <w:spacing w:after="160" w:line="276" w:lineRule="auto"/>
      </w:pPr>
      <w:r w:rsidRPr="00F22C38">
        <w:t>IT-systemen voor het grote publiek (computers, tablets, laptops) en besturingssystemen</w:t>
      </w:r>
    </w:p>
    <w:p w14:paraId="121BA44C" w14:textId="77777777" w:rsidR="006A4276" w:rsidRPr="00F22C38" w:rsidRDefault="006A4276" w:rsidP="006A4276">
      <w:pPr>
        <w:pStyle w:val="Paragraphedeliste"/>
        <w:numPr>
          <w:ilvl w:val="2"/>
          <w:numId w:val="7"/>
        </w:numPr>
        <w:spacing w:after="160" w:line="276" w:lineRule="auto"/>
      </w:pPr>
      <w:r w:rsidRPr="00F22C38">
        <w:t>Betaalterminals</w:t>
      </w:r>
    </w:p>
    <w:p w14:paraId="497AAB76" w14:textId="77777777" w:rsidR="006A4276" w:rsidRPr="00F22C38" w:rsidRDefault="006A4276" w:rsidP="006A4276">
      <w:pPr>
        <w:pStyle w:val="Paragraphedeliste"/>
        <w:numPr>
          <w:ilvl w:val="2"/>
          <w:numId w:val="7"/>
        </w:numPr>
        <w:spacing w:after="160" w:line="276" w:lineRule="auto"/>
      </w:pPr>
      <w:r w:rsidRPr="00F22C38">
        <w:t>Zelfbedieningsterminals die verband houden met de onder de richtlijn vallende diensten (geldautomaten, kaartautomaten, registratiemachines en interactieve zelfbedieningsterminals die informatie verstrekken)</w:t>
      </w:r>
    </w:p>
    <w:p w14:paraId="02109C06" w14:textId="77777777" w:rsidR="006A4276" w:rsidRPr="00F22C38" w:rsidRDefault="006A4276" w:rsidP="006A4276">
      <w:pPr>
        <w:pStyle w:val="Paragraphedeliste"/>
        <w:numPr>
          <w:ilvl w:val="2"/>
          <w:numId w:val="7"/>
        </w:numPr>
        <w:spacing w:after="160" w:line="276" w:lineRule="auto"/>
      </w:pPr>
      <w:r w:rsidRPr="00F22C38">
        <w:t>Consumentenapparatuur met interactieve computerfunctionaliteit die wordt gebruikt voor elektronische communicatiediensten (smartphones, tablets waarmee kan worden gebeld)</w:t>
      </w:r>
    </w:p>
    <w:p w14:paraId="523E309A" w14:textId="77777777" w:rsidR="006A4276" w:rsidRPr="00F22C38" w:rsidRDefault="006A4276" w:rsidP="006A4276">
      <w:pPr>
        <w:pStyle w:val="Paragraphedeliste"/>
        <w:numPr>
          <w:ilvl w:val="2"/>
          <w:numId w:val="7"/>
        </w:numPr>
        <w:spacing w:after="160" w:line="276" w:lineRule="auto"/>
      </w:pPr>
      <w:r w:rsidRPr="00F22C38">
        <w:t xml:space="preserve">Consumentenapparatuur met interactieve computerfunctionaliteit die wordt gebruikt voor toegang tot audiovisuele mediadiensten </w:t>
      </w:r>
    </w:p>
    <w:p w14:paraId="36DB540C" w14:textId="7A3B3AC4" w:rsidR="006A4276" w:rsidRPr="00F22C38" w:rsidRDefault="006A4276" w:rsidP="006A4276">
      <w:pPr>
        <w:pStyle w:val="Paragraphedeliste"/>
        <w:numPr>
          <w:ilvl w:val="2"/>
          <w:numId w:val="7"/>
        </w:numPr>
        <w:spacing w:after="160" w:line="276" w:lineRule="auto"/>
      </w:pPr>
      <w:r w:rsidRPr="00F22C38">
        <w:t>E-readers (</w:t>
      </w:r>
      <w:r>
        <w:t>of e-boekenlezers</w:t>
      </w:r>
      <w:r w:rsidRPr="00F22C38">
        <w:t>)</w:t>
      </w:r>
    </w:p>
    <w:p w14:paraId="3CD19181" w14:textId="77777777" w:rsidR="00183523" w:rsidRPr="003D1EAF" w:rsidRDefault="00183523" w:rsidP="00183523">
      <w:pPr>
        <w:pStyle w:val="Paragraphedeliste"/>
        <w:numPr>
          <w:ilvl w:val="1"/>
          <w:numId w:val="7"/>
        </w:numPr>
        <w:spacing w:after="160" w:line="259" w:lineRule="auto"/>
        <w:rPr>
          <w:b/>
          <w:bCs/>
        </w:rPr>
      </w:pPr>
      <w:r w:rsidRPr="003D1EAF">
        <w:rPr>
          <w:b/>
          <w:bCs/>
        </w:rPr>
        <w:t xml:space="preserve">Diensten: </w:t>
      </w:r>
    </w:p>
    <w:p w14:paraId="0D984AE1" w14:textId="77777777" w:rsidR="006A4276" w:rsidRPr="00F22C38" w:rsidRDefault="006A4276" w:rsidP="006A4276">
      <w:pPr>
        <w:pStyle w:val="Paragraphedeliste"/>
        <w:numPr>
          <w:ilvl w:val="2"/>
          <w:numId w:val="7"/>
        </w:numPr>
        <w:spacing w:after="160" w:line="276" w:lineRule="auto"/>
      </w:pPr>
      <w:r w:rsidRPr="00F22C38">
        <w:t xml:space="preserve">Elektronische communicatiediensten </w:t>
      </w:r>
    </w:p>
    <w:p w14:paraId="267D4C2B" w14:textId="77777777" w:rsidR="006A4276" w:rsidRPr="00F22C38" w:rsidRDefault="006A4276" w:rsidP="006A4276">
      <w:pPr>
        <w:pStyle w:val="Paragraphedeliste"/>
        <w:numPr>
          <w:ilvl w:val="2"/>
          <w:numId w:val="7"/>
        </w:numPr>
        <w:spacing w:after="160" w:line="276" w:lineRule="auto"/>
      </w:pPr>
      <w:r w:rsidRPr="00F22C38">
        <w:t>Diensten die toegang geven tot audiovisuele mediadiensten</w:t>
      </w:r>
    </w:p>
    <w:p w14:paraId="2FDFCA77" w14:textId="77777777" w:rsidR="006A4276" w:rsidRPr="00F22C38" w:rsidRDefault="006A4276" w:rsidP="006A4276">
      <w:pPr>
        <w:pStyle w:val="Paragraphedeliste"/>
        <w:numPr>
          <w:ilvl w:val="2"/>
          <w:numId w:val="7"/>
        </w:numPr>
        <w:spacing w:after="160" w:line="276" w:lineRule="auto"/>
      </w:pPr>
      <w:r w:rsidRPr="00F22C38">
        <w:t xml:space="preserve">Bankdiensten voor consumenten </w:t>
      </w:r>
    </w:p>
    <w:p w14:paraId="3766FD97" w14:textId="77777777" w:rsidR="006A4276" w:rsidRPr="00F22C38" w:rsidRDefault="006A4276" w:rsidP="006A4276">
      <w:pPr>
        <w:pStyle w:val="Paragraphedeliste"/>
        <w:numPr>
          <w:ilvl w:val="2"/>
          <w:numId w:val="7"/>
        </w:numPr>
        <w:spacing w:after="160" w:line="276" w:lineRule="auto"/>
      </w:pPr>
      <w:r w:rsidRPr="00F22C38">
        <w:t>E-books</w:t>
      </w:r>
    </w:p>
    <w:p w14:paraId="051B52D7" w14:textId="77777777" w:rsidR="006A4276" w:rsidRPr="00F22C38" w:rsidRDefault="006A4276" w:rsidP="006A4276">
      <w:pPr>
        <w:pStyle w:val="Paragraphedeliste"/>
        <w:numPr>
          <w:ilvl w:val="2"/>
          <w:numId w:val="7"/>
        </w:numPr>
        <w:spacing w:after="160" w:line="276" w:lineRule="auto"/>
      </w:pPr>
      <w:r w:rsidRPr="00F22C38">
        <w:t xml:space="preserve">E-commerce </w:t>
      </w:r>
    </w:p>
    <w:p w14:paraId="0445B270" w14:textId="77777777" w:rsidR="006A4276" w:rsidRPr="0021403B" w:rsidRDefault="006A4276" w:rsidP="006A4276">
      <w:pPr>
        <w:pStyle w:val="Paragraphedeliste"/>
        <w:numPr>
          <w:ilvl w:val="2"/>
          <w:numId w:val="7"/>
        </w:numPr>
        <w:spacing w:after="160" w:line="276" w:lineRule="auto"/>
      </w:pPr>
      <w:r w:rsidRPr="00F22C38">
        <w:t xml:space="preserve">De specifieke elementen van vervoersdiensten die verband houden met informatie en kaartverkoop, met uitzondering van </w:t>
      </w:r>
      <w:r>
        <w:lastRenderedPageBreak/>
        <w:t>stads</w:t>
      </w:r>
      <w:r w:rsidRPr="00F22C38">
        <w:t xml:space="preserve">-, </w:t>
      </w:r>
      <w:r>
        <w:t>voorstads</w:t>
      </w:r>
      <w:r w:rsidRPr="00F22C38">
        <w:t xml:space="preserve">- en </w:t>
      </w:r>
      <w:r>
        <w:t>regionaal d</w:t>
      </w:r>
      <w:r w:rsidRPr="00F22C38">
        <w:t>iensten, waarvoor alleen zelfbedieningsterminals onder deze richtlijn vallen</w:t>
      </w:r>
    </w:p>
    <w:p w14:paraId="71D48769" w14:textId="47BF2BCB" w:rsidR="007355E9" w:rsidRPr="007355E9" w:rsidRDefault="007355E9" w:rsidP="00CD4809">
      <w:pPr>
        <w:spacing w:after="120"/>
        <w:jc w:val="both"/>
        <w:rPr>
          <w:b/>
          <w:bCs/>
        </w:rPr>
      </w:pPr>
      <w:r w:rsidRPr="007355E9">
        <w:rPr>
          <w:b/>
          <w:bCs/>
        </w:rPr>
        <w:t xml:space="preserve">Omzetting </w:t>
      </w:r>
      <w:r w:rsidR="00410F92">
        <w:rPr>
          <w:b/>
          <w:bCs/>
        </w:rPr>
        <w:t xml:space="preserve">en uitvoering </w:t>
      </w:r>
      <w:r w:rsidRPr="007355E9">
        <w:rPr>
          <w:b/>
          <w:bCs/>
        </w:rPr>
        <w:t>van de EAA-richtlijn door België</w:t>
      </w:r>
    </w:p>
    <w:p w14:paraId="32FE9E6B" w14:textId="77777777" w:rsidR="002D76F6" w:rsidRPr="00847A61" w:rsidRDefault="002D76F6" w:rsidP="002D76F6">
      <w:pPr>
        <w:spacing w:after="120"/>
        <w:jc w:val="both"/>
        <w:rPr>
          <w:highlight w:val="yellow"/>
          <w:lang w:val="en-US"/>
        </w:rPr>
      </w:pPr>
      <w:r>
        <w:t xml:space="preserve">De uiterste datum voor de omzetting in nationaal recht was 28 juni 2022. </w:t>
      </w:r>
    </w:p>
    <w:p w14:paraId="07B0F533" w14:textId="2DA7C964" w:rsidR="007355E9" w:rsidRDefault="007355E9" w:rsidP="00CD4809">
      <w:pPr>
        <w:spacing w:after="120"/>
        <w:jc w:val="both"/>
      </w:pPr>
      <w:r>
        <w:t xml:space="preserve">De EAA-richtlijn vereiste een complexe omzetting, aangezien zij </w:t>
      </w:r>
      <w:r w:rsidR="00A138D1">
        <w:t xml:space="preserve">betrekking heeft op producten en diensten die onder verschillende bevoegdheidsniveaus en overheden vallen. </w:t>
      </w:r>
    </w:p>
    <w:p w14:paraId="217AE58E" w14:textId="03B170B6" w:rsidR="002D76F6" w:rsidRPr="00847A61" w:rsidRDefault="002D76F6" w:rsidP="002D76F6">
      <w:pPr>
        <w:spacing w:after="120"/>
        <w:jc w:val="both"/>
        <w:rPr>
          <w:highlight w:val="yellow"/>
        </w:rPr>
      </w:pPr>
      <w:bookmarkStart w:id="0" w:name="_Hlk208220445"/>
      <w:r w:rsidRPr="002D76F6">
        <w:t xml:space="preserve">De lijst van de 20 teksten die in België zijn aangenomen voor de omzetting van de EAA-richtlijn is online beschikbaar op de </w:t>
      </w:r>
      <w:proofErr w:type="spellStart"/>
      <w:r w:rsidRPr="002D76F6">
        <w:t>website</w:t>
      </w:r>
      <w:proofErr w:type="spellEnd"/>
      <w:r w:rsidRPr="002D76F6">
        <w:t xml:space="preserve"> van de </w:t>
      </w:r>
      <w:proofErr w:type="spellStart"/>
      <w:r w:rsidRPr="002D76F6">
        <w:t>Europese</w:t>
      </w:r>
      <w:proofErr w:type="spellEnd"/>
      <w:r w:rsidRPr="002D76F6">
        <w:t xml:space="preserve"> Unie: </w:t>
      </w:r>
      <w:hyperlink r:id="rId12" w:history="1">
        <w:r w:rsidR="00CB4551">
          <w:rPr>
            <w:rStyle w:val="Lienhypertexte"/>
          </w:rPr>
          <w:t>https://eur-lex.europa.eu/legal-content/EN/NIM/?uri=CELEX:32019L0882&amp;amp;qid=1749635261991</w:t>
        </w:r>
      </w:hyperlink>
    </w:p>
    <w:bookmarkEnd w:id="0"/>
    <w:p w14:paraId="5F82D102" w14:textId="0A960237" w:rsidR="006A4276" w:rsidRDefault="00410F92" w:rsidP="006A4276">
      <w:pPr>
        <w:spacing w:after="120"/>
        <w:jc w:val="both"/>
      </w:pPr>
      <w:r>
        <w:t xml:space="preserve">Wat de tenuitvoerlegging betreft, </w:t>
      </w:r>
      <w:r w:rsidR="006A4276">
        <w:t xml:space="preserve">moeten bedrijven sinds 28 juni 2025 met name: </w:t>
      </w:r>
    </w:p>
    <w:p w14:paraId="38992FBD" w14:textId="77777777" w:rsidR="006A4276" w:rsidRDefault="006A4276" w:rsidP="006A4276">
      <w:pPr>
        <w:pStyle w:val="Paragraphedeliste"/>
        <w:numPr>
          <w:ilvl w:val="0"/>
          <w:numId w:val="6"/>
        </w:numPr>
        <w:spacing w:after="120"/>
        <w:jc w:val="both"/>
      </w:pPr>
      <w:r>
        <w:t>Duidelijke en toegankelijke informatie verstrekken over hun diensten</w:t>
      </w:r>
    </w:p>
    <w:p w14:paraId="67C942B8" w14:textId="77777777" w:rsidR="006A4276" w:rsidRDefault="006A4276" w:rsidP="006A4276">
      <w:pPr>
        <w:pStyle w:val="Paragraphedeliste"/>
        <w:numPr>
          <w:ilvl w:val="0"/>
          <w:numId w:val="6"/>
        </w:numPr>
        <w:spacing w:after="120"/>
        <w:jc w:val="both"/>
      </w:pPr>
      <w:r>
        <w:t>Ervoor zorgen dat hun digitale platform toegankelijk, begrijpelijk en bruikbaar is voor alle personen met een handicap: elke consument moet alle informatie kunnen begrijpen</w:t>
      </w:r>
    </w:p>
    <w:p w14:paraId="2F117D9D" w14:textId="77777777" w:rsidR="006A4276" w:rsidRDefault="006A4276" w:rsidP="006A4276">
      <w:pPr>
        <w:pStyle w:val="Paragraphedeliste"/>
        <w:numPr>
          <w:ilvl w:val="0"/>
          <w:numId w:val="6"/>
        </w:numPr>
        <w:spacing w:after="120"/>
        <w:jc w:val="both"/>
      </w:pPr>
      <w:r>
        <w:t>Nuttige informatie verstrekken over de toegankelijkheid van hun dienst</w:t>
      </w:r>
    </w:p>
    <w:p w14:paraId="4D0CB1AC" w14:textId="77777777" w:rsidR="006A4276" w:rsidRDefault="006A4276" w:rsidP="006A4276">
      <w:pPr>
        <w:pStyle w:val="Paragraphedeliste"/>
        <w:numPr>
          <w:ilvl w:val="0"/>
          <w:numId w:val="6"/>
        </w:numPr>
        <w:spacing w:after="120"/>
        <w:jc w:val="both"/>
      </w:pPr>
      <w:r>
        <w:t>De compatibiliteit van hun diensten met ondersteunende technologieën garanderen</w:t>
      </w:r>
    </w:p>
    <w:p w14:paraId="7B08F1D1" w14:textId="49364704" w:rsidR="006A4276" w:rsidRDefault="006A4276" w:rsidP="00D04058">
      <w:pPr>
        <w:spacing w:after="120"/>
        <w:jc w:val="both"/>
      </w:pPr>
      <w:r>
        <w:t>Belangrijke beperking: "micro-ondernemingen" met minder dan 10 werknemers en een omzet of balanstotaal van minder dan 2 miljoen euro krijgen 5 jaar extra de tijd om aan de regels te voldoen (28 juni 2030).</w:t>
      </w:r>
    </w:p>
    <w:p w14:paraId="727D98C3" w14:textId="6360FEEE" w:rsidR="00715788" w:rsidRPr="00715788" w:rsidRDefault="00715788" w:rsidP="006A4276">
      <w:pPr>
        <w:spacing w:after="120"/>
        <w:jc w:val="both"/>
        <w:rPr>
          <w:b/>
          <w:bCs/>
        </w:rPr>
      </w:pPr>
      <w:bookmarkStart w:id="1" w:name="_Hlk208221583"/>
      <w:r w:rsidRPr="00715788">
        <w:rPr>
          <w:b/>
          <w:bCs/>
        </w:rPr>
        <w:t>Controle op de uitvoering van de EAA in België</w:t>
      </w:r>
    </w:p>
    <w:p w14:paraId="2131D311" w14:textId="43FBA48A" w:rsidR="006A4276" w:rsidRDefault="006A4276" w:rsidP="006A4276">
      <w:pPr>
        <w:spacing w:after="120"/>
        <w:jc w:val="both"/>
      </w:pPr>
      <w:r>
        <w:t xml:space="preserve">De bevoegde autoriteiten om de naleving van deze wetgeving te handhaven zijn: </w:t>
      </w:r>
    </w:p>
    <w:p w14:paraId="0F7AFBA2" w14:textId="77777777" w:rsidR="006A4276" w:rsidRDefault="006A4276" w:rsidP="006A4276">
      <w:pPr>
        <w:pStyle w:val="Paragraphedeliste"/>
        <w:numPr>
          <w:ilvl w:val="0"/>
          <w:numId w:val="8"/>
        </w:numPr>
        <w:spacing w:after="120"/>
        <w:jc w:val="both"/>
      </w:pPr>
      <w:r>
        <w:t>De economische inspectie van de Federale Overheidsdienst Economie (FOD Economie) voor onlinehandelsdiensten en bankdiensten</w:t>
      </w:r>
    </w:p>
    <w:p w14:paraId="7C144220" w14:textId="77777777" w:rsidR="006A4276" w:rsidRDefault="006A4276" w:rsidP="006A4276">
      <w:pPr>
        <w:pStyle w:val="Paragraphedeliste"/>
        <w:numPr>
          <w:ilvl w:val="0"/>
          <w:numId w:val="8"/>
        </w:numPr>
        <w:spacing w:after="120"/>
        <w:jc w:val="both"/>
      </w:pPr>
      <w:r>
        <w:t xml:space="preserve">Het Belgisch Instituut voor Postdiensten en Telecommunicatie (BIPT) voor zelfbedieningsterminals, computerhardware en besturingssystemen, eindapparatuur met interactieve computercapaciteiten, e-readers, elektronische communicatiediensten (telefoon, sms, internettoegang) </w:t>
      </w:r>
      <w:hyperlink r:id="rId13" w:tgtFrame="_blank" w:history="1">
        <w:r w:rsidRPr="00176782">
          <w:rPr>
            <w:rStyle w:val="Lienhypertexte"/>
          </w:rPr>
          <w:t>Belgisch Instituut voor Postdiensten en Telecommunicatie (BIPT</w:t>
        </w:r>
      </w:hyperlink>
      <w:r>
        <w:t xml:space="preserve">) </w:t>
      </w:r>
    </w:p>
    <w:p w14:paraId="3039C262" w14:textId="77777777" w:rsidR="006A4276" w:rsidRDefault="006A4276" w:rsidP="006A4276">
      <w:pPr>
        <w:pStyle w:val="Paragraphedeliste"/>
        <w:numPr>
          <w:ilvl w:val="0"/>
          <w:numId w:val="8"/>
        </w:numPr>
        <w:spacing w:after="120"/>
        <w:jc w:val="both"/>
      </w:pPr>
      <w:r>
        <w:t xml:space="preserve">De Franse Gemeenschap, de Vlaamse Gemeenschap en de Duitstalige Gemeenschap voor audiovisuele media, diensten die toegang geven tot audiovisuele inhoud, digitale boeken </w:t>
      </w:r>
      <w:hyperlink r:id="rId14" w:tgtFrame="_blank" w:history="1">
        <w:r w:rsidRPr="00176782">
          <w:rPr>
            <w:rStyle w:val="Lienhypertexte"/>
          </w:rPr>
          <w:t>Franse Gemeenschap</w:t>
        </w:r>
      </w:hyperlink>
      <w:r>
        <w:t xml:space="preserve"> - </w:t>
      </w:r>
      <w:hyperlink r:id="rId15" w:tgtFrame="_blank" w:history="1">
        <w:r w:rsidRPr="00176782">
          <w:rPr>
            <w:rStyle w:val="Lienhypertexte"/>
          </w:rPr>
          <w:t>Vlaamse Gemeenschap</w:t>
        </w:r>
      </w:hyperlink>
      <w:r>
        <w:t xml:space="preserve"> - </w:t>
      </w:r>
      <w:hyperlink r:id="rId16" w:tgtFrame="_blank" w:history="1">
        <w:r w:rsidRPr="00176782">
          <w:rPr>
            <w:rStyle w:val="Lienhypertexte"/>
          </w:rPr>
          <w:t>Duitstalige Gemeenschap</w:t>
        </w:r>
      </w:hyperlink>
    </w:p>
    <w:p w14:paraId="32E2EDB6" w14:textId="77777777" w:rsidR="006A4276" w:rsidRDefault="006A4276" w:rsidP="006A4276">
      <w:pPr>
        <w:pStyle w:val="Paragraphedeliste"/>
        <w:numPr>
          <w:ilvl w:val="0"/>
          <w:numId w:val="8"/>
        </w:numPr>
        <w:spacing w:after="120"/>
        <w:jc w:val="both"/>
      </w:pPr>
      <w:r>
        <w:t>De FOD Binnenlandse Zaken (IBZ) voor het noodnummer 112</w:t>
      </w:r>
    </w:p>
    <w:p w14:paraId="46C63D3A" w14:textId="77777777" w:rsidR="006A4276" w:rsidRDefault="006A4276" w:rsidP="006A4276">
      <w:pPr>
        <w:pStyle w:val="Paragraphedeliste"/>
        <w:numPr>
          <w:ilvl w:val="0"/>
          <w:numId w:val="8"/>
        </w:numPr>
        <w:spacing w:after="120"/>
        <w:jc w:val="both"/>
      </w:pPr>
      <w:r>
        <w:t xml:space="preserve">De </w:t>
      </w:r>
      <w:hyperlink r:id="rId17" w:tgtFrame="_blank" w:history="1">
        <w:r w:rsidRPr="00DD6321">
          <w:rPr>
            <w:rStyle w:val="Lienhypertexte"/>
          </w:rPr>
          <w:t>FOD Mobiliteit en Vervoer</w:t>
        </w:r>
      </w:hyperlink>
      <w:r>
        <w:t xml:space="preserve"> voor het vervoer van personen per spoor, luchtvaart, boot of bus (meer dan 250 km)</w:t>
      </w:r>
    </w:p>
    <w:p w14:paraId="3E27B94E" w14:textId="77777777" w:rsidR="006A4276" w:rsidRPr="00DD6321" w:rsidRDefault="006A4276" w:rsidP="006A4276">
      <w:pPr>
        <w:pStyle w:val="Paragraphedeliste"/>
        <w:numPr>
          <w:ilvl w:val="0"/>
          <w:numId w:val="8"/>
        </w:numPr>
        <w:spacing w:after="120"/>
        <w:jc w:val="both"/>
        <w:rPr>
          <w:lang w:val="en-US"/>
        </w:rPr>
      </w:pPr>
      <w:r>
        <w:t xml:space="preserve">Het </w:t>
      </w:r>
      <w:hyperlink r:id="rId18" w:tgtFrame="_blank" w:history="1">
        <w:r w:rsidRPr="00DD6321">
          <w:rPr>
            <w:rStyle w:val="Lienhypertexte"/>
            <w:lang w:val="en-US"/>
          </w:rPr>
          <w:t>Waals Gewest</w:t>
        </w:r>
      </w:hyperlink>
      <w:r>
        <w:t xml:space="preserve">, </w:t>
      </w:r>
      <w:hyperlink r:id="rId19" w:anchor="Mobilite-9941" w:tgtFrame="_blank" w:history="1">
        <w:r w:rsidRPr="00DD6321">
          <w:rPr>
            <w:rStyle w:val="Lienhypertexte"/>
            <w:lang w:val="en-US"/>
          </w:rPr>
          <w:t>het Brussels Hoofdstedelijk Gewest</w:t>
        </w:r>
      </w:hyperlink>
      <w:r>
        <w:t xml:space="preserve"> en </w:t>
      </w:r>
      <w:hyperlink r:id="rId20" w:tgtFrame="_blank" w:history="1">
        <w:r w:rsidRPr="00DD6321">
          <w:rPr>
            <w:rStyle w:val="Lienhypertexte"/>
            <w:lang w:val="en-US"/>
          </w:rPr>
          <w:t>het Vlaams Gewest</w:t>
        </w:r>
      </w:hyperlink>
      <w:r>
        <w:t xml:space="preserve"> voor </w:t>
      </w:r>
      <w:r w:rsidRPr="00DD6321">
        <w:t xml:space="preserve">stads-, voorstedelijk en regionaal </w:t>
      </w:r>
      <w:r>
        <w:t xml:space="preserve">vervoer </w:t>
      </w:r>
      <w:r w:rsidRPr="00DD6321">
        <w:t>(bus, tram en metro)</w:t>
      </w:r>
    </w:p>
    <w:p w14:paraId="14FCBA02" w14:textId="77777777" w:rsidR="006A4276" w:rsidRDefault="006A4276" w:rsidP="006A4276">
      <w:pPr>
        <w:spacing w:after="120"/>
        <w:jc w:val="both"/>
      </w:pPr>
      <w:r>
        <w:t xml:space="preserve">Bij niet-naleving van de verplichtingen uit hoofde van de EAA-richtlijn zijn administratieve sancties voorzien. Voor de ernstigste overtredingen kunnen deze sancties oplopen tot 200.000 euro of 6% van de jaaromzet van de onderneming. </w:t>
      </w:r>
    </w:p>
    <w:p w14:paraId="3E789BF2" w14:textId="77777777" w:rsidR="006A4276" w:rsidRDefault="006A4276" w:rsidP="006A4276">
      <w:pPr>
        <w:spacing w:after="120"/>
        <w:jc w:val="both"/>
      </w:pPr>
      <w:r>
        <w:t>De FOD Economie heeft richtlijnen gepubliceerd om bedrijven te helpen voldoen aan de nieuwe verplichtingen van de EAA-richtlijn.</w:t>
      </w:r>
    </w:p>
    <w:p w14:paraId="5000B0B8" w14:textId="77777777" w:rsidR="007B45B4" w:rsidRPr="00A52C2C" w:rsidRDefault="007B45B4" w:rsidP="007B45B4">
      <w:pPr>
        <w:jc w:val="both"/>
        <w:rPr>
          <w:b/>
          <w:u w:val="single"/>
        </w:rPr>
      </w:pPr>
    </w:p>
    <w:p w14:paraId="45887629" w14:textId="77777777" w:rsidR="007B45B4" w:rsidRPr="004D4A5E" w:rsidRDefault="007B45B4" w:rsidP="007B45B4">
      <w:pPr>
        <w:numPr>
          <w:ilvl w:val="0"/>
          <w:numId w:val="1"/>
        </w:numPr>
        <w:spacing w:after="240"/>
        <w:ind w:left="357" w:hanging="357"/>
        <w:jc w:val="both"/>
        <w:outlineLvl w:val="0"/>
        <w:rPr>
          <w:b/>
        </w:rPr>
      </w:pPr>
      <w:r w:rsidRPr="00A52C2C">
        <w:rPr>
          <w:b/>
          <w:u w:val="single"/>
        </w:rPr>
        <w:t xml:space="preserve">ANALYSE </w:t>
      </w:r>
    </w:p>
    <w:p w14:paraId="1F29CB47" w14:textId="77777777" w:rsidR="007B45B4" w:rsidRDefault="007B45B4" w:rsidP="007B45B4">
      <w:pPr>
        <w:spacing w:after="240"/>
        <w:jc w:val="both"/>
        <w:outlineLvl w:val="0"/>
        <w:rPr>
          <w:bCs/>
        </w:rPr>
      </w:pPr>
      <w:r w:rsidRPr="004D4A5E">
        <w:rPr>
          <w:bCs/>
        </w:rPr>
        <w:t xml:space="preserve">Het Platform </w:t>
      </w:r>
      <w:r>
        <w:rPr>
          <w:bCs/>
        </w:rPr>
        <w:t xml:space="preserve">benadrukt een reeks overwegingen </w:t>
      </w:r>
      <w:r w:rsidRPr="008F0930">
        <w:rPr>
          <w:bCs/>
        </w:rPr>
        <w:t>en stelt ook verschillende vragen.</w:t>
      </w:r>
    </w:p>
    <w:p w14:paraId="2F328974" w14:textId="77777777" w:rsidR="006A4276" w:rsidRPr="003075AF" w:rsidRDefault="006A4276" w:rsidP="006A4276">
      <w:pPr>
        <w:spacing w:after="240"/>
        <w:jc w:val="both"/>
        <w:outlineLvl w:val="0"/>
        <w:rPr>
          <w:b/>
        </w:rPr>
      </w:pPr>
      <w:r w:rsidRPr="003075AF">
        <w:rPr>
          <w:b/>
        </w:rPr>
        <w:t>a) Raadpleging van vertegenwoordigende organen van personen met een handicap</w:t>
      </w:r>
    </w:p>
    <w:p w14:paraId="40CFEBB3" w14:textId="64AFD62F" w:rsidR="006A4276" w:rsidRDefault="007B79D5" w:rsidP="006A4276">
      <w:pPr>
        <w:spacing w:after="240"/>
        <w:jc w:val="both"/>
        <w:outlineLvl w:val="0"/>
        <w:rPr>
          <w:bCs/>
        </w:rPr>
      </w:pPr>
      <w:commentRangeStart w:id="2"/>
      <w:r>
        <w:rPr>
          <w:bCs/>
        </w:rPr>
        <w:t xml:space="preserve">De toepassing van het principe van "handystreaming" in België </w:t>
      </w:r>
      <w:r w:rsidR="006A4276">
        <w:rPr>
          <w:bCs/>
        </w:rPr>
        <w:t xml:space="preserve">houdt in dat de autoriteiten de organisaties </w:t>
      </w:r>
      <w:r w:rsidR="0099769E">
        <w:rPr>
          <w:bCs/>
        </w:rPr>
        <w:t>die personen met een handicap vertegenwoordigen</w:t>
      </w:r>
      <w:r w:rsidR="006A4276">
        <w:rPr>
          <w:bCs/>
        </w:rPr>
        <w:t xml:space="preserve">, moeten raadplegen </w:t>
      </w:r>
      <w:r w:rsidR="001D15AB">
        <w:rPr>
          <w:bCs/>
        </w:rPr>
        <w:t xml:space="preserve">bij </w:t>
      </w:r>
      <w:r w:rsidR="0099769E">
        <w:rPr>
          <w:bCs/>
        </w:rPr>
        <w:t xml:space="preserve">besluitvormingsprocessen </w:t>
      </w:r>
      <w:r w:rsidR="001D15AB">
        <w:rPr>
          <w:bCs/>
        </w:rPr>
        <w:t xml:space="preserve">die betrekking hebben op de personen </w:t>
      </w:r>
      <w:r>
        <w:rPr>
          <w:bCs/>
        </w:rPr>
        <w:t>die zij vertegenwoordigen</w:t>
      </w:r>
      <w:r w:rsidR="006A4276">
        <w:rPr>
          <w:bCs/>
        </w:rPr>
        <w:t xml:space="preserve">. </w:t>
      </w:r>
      <w:r w:rsidR="001D15AB">
        <w:rPr>
          <w:bCs/>
        </w:rPr>
        <w:t>De EAA-richtlijn maakt in wezen deel uit van de beoogde processen.</w:t>
      </w:r>
      <w:commentRangeEnd w:id="2"/>
      <w:r>
        <w:rPr>
          <w:rStyle w:val="Marquedecommentaire"/>
        </w:rPr>
        <w:commentReference w:id="2"/>
      </w:r>
    </w:p>
    <w:p w14:paraId="03921397" w14:textId="6110FA6F" w:rsidR="006A4276" w:rsidRDefault="006A4276" w:rsidP="006A4276">
      <w:pPr>
        <w:spacing w:after="240"/>
        <w:jc w:val="both"/>
        <w:outlineLvl w:val="0"/>
      </w:pPr>
      <w:r>
        <w:rPr>
          <w:bCs/>
        </w:rPr>
        <w:t xml:space="preserve">De omzetting </w:t>
      </w:r>
      <w:r w:rsidR="00B1298F">
        <w:rPr>
          <w:bCs/>
        </w:rPr>
        <w:t xml:space="preserve">werd globaal beheerd door </w:t>
      </w:r>
      <w:r>
        <w:rPr>
          <w:bCs/>
        </w:rPr>
        <w:t>de FOD Economie</w:t>
      </w:r>
      <w:r w:rsidR="00B1298F">
        <w:rPr>
          <w:bCs/>
        </w:rPr>
        <w:t>. Op aandringen van de CSNPH</w:t>
      </w:r>
      <w:r w:rsidR="002511AE">
        <w:rPr>
          <w:bCs/>
        </w:rPr>
        <w:t xml:space="preserve">, het platform van adviesraden, </w:t>
      </w:r>
      <w:r w:rsidR="00B1298F">
        <w:rPr>
          <w:bCs/>
        </w:rPr>
        <w:t xml:space="preserve">het </w:t>
      </w:r>
      <w:r w:rsidR="007B79D5">
        <w:rPr>
          <w:bCs/>
        </w:rPr>
        <w:t xml:space="preserve">Belgian Disability Forum vzw (BDF) </w:t>
      </w:r>
      <w:r w:rsidR="002511AE">
        <w:rPr>
          <w:bCs/>
        </w:rPr>
        <w:t xml:space="preserve">en het CAWaB </w:t>
      </w:r>
      <w:r>
        <w:t>werden de organisaties die personen met een handicap vertegenwoordigen bij het proces betrokken. Deze betrokkenheid was echter louter formeel (pro forma).</w:t>
      </w:r>
    </w:p>
    <w:p w14:paraId="16062801" w14:textId="1818464D" w:rsidR="006A4276" w:rsidRDefault="006A4276" w:rsidP="006A4276">
      <w:pPr>
        <w:pStyle w:val="Paragraphedeliste"/>
        <w:numPr>
          <w:ilvl w:val="0"/>
          <w:numId w:val="15"/>
        </w:numPr>
        <w:spacing w:after="120"/>
        <w:jc w:val="both"/>
      </w:pPr>
      <w:r>
        <w:t xml:space="preserve">Het </w:t>
      </w:r>
      <w:r w:rsidR="007B79D5">
        <w:t xml:space="preserve">CSNPH en het BDF </w:t>
      </w:r>
      <w:r>
        <w:t xml:space="preserve">werden uitgenodigd en namen deel aan </w:t>
      </w:r>
      <w:r w:rsidR="00F46653">
        <w:t xml:space="preserve">twee </w:t>
      </w:r>
      <w:r>
        <w:t>plenaire vergaderingen in</w:t>
      </w:r>
      <w:r w:rsidR="00F46653">
        <w:t xml:space="preserve"> 2021 </w:t>
      </w:r>
      <w:r w:rsidR="00B1298F">
        <w:t>(02/04/2021 en 23/09/2021)</w:t>
      </w:r>
      <w:r>
        <w:t xml:space="preserve">. Deze vergaderingen bleken niet </w:t>
      </w:r>
      <w:r w:rsidR="002511AE">
        <w:t xml:space="preserve">echt </w:t>
      </w:r>
      <w:r>
        <w:t xml:space="preserve">interessant, aangezien elke vraag of elk verzoek werd ontweken met een van de volgende antwoorden: </w:t>
      </w:r>
    </w:p>
    <w:p w14:paraId="05395EEC" w14:textId="77777777" w:rsidR="006A4276" w:rsidRDefault="006A4276" w:rsidP="00410F92">
      <w:pPr>
        <w:pStyle w:val="Paragraphedeliste"/>
        <w:numPr>
          <w:ilvl w:val="2"/>
          <w:numId w:val="14"/>
        </w:numPr>
        <w:spacing w:after="120"/>
        <w:ind w:left="1985"/>
        <w:jc w:val="both"/>
      </w:pPr>
      <w:r>
        <w:t>"... hierover is al een akkoord gesloten met de verschillende betrokken instanties, het is onmogelijk om dit akkoord te wijzigen..."</w:t>
      </w:r>
    </w:p>
    <w:p w14:paraId="04FB2BD3" w14:textId="77777777" w:rsidR="006A4276" w:rsidRDefault="006A4276" w:rsidP="00410F92">
      <w:pPr>
        <w:pStyle w:val="Paragraphedeliste"/>
        <w:numPr>
          <w:ilvl w:val="2"/>
          <w:numId w:val="14"/>
        </w:numPr>
        <w:spacing w:after="120"/>
        <w:ind w:left="1985"/>
        <w:jc w:val="both"/>
      </w:pPr>
      <w:r>
        <w:t>"... dit maakt deel uit van de besprekingen en onderhandelingen die in de werkgroep zullen plaatsvinden ...". De organisaties die personen met een handicap vertegenwoordigen, werd de mogelijkheid ontzegd om aan deze vergaderingen deel te nemen en zodra de overeenkomst in de werkgroep was bereikt, was het op grond van antwoord a) hierboven niet meer mogelijk om ook maar iets te wijzigen.</w:t>
      </w:r>
    </w:p>
    <w:p w14:paraId="32CCF7F3" w14:textId="77777777" w:rsidR="006A4276" w:rsidRDefault="006A4276" w:rsidP="00410F92">
      <w:pPr>
        <w:pStyle w:val="Paragraphedeliste"/>
        <w:numPr>
          <w:ilvl w:val="2"/>
          <w:numId w:val="14"/>
        </w:numPr>
        <w:spacing w:after="120"/>
        <w:ind w:left="1985"/>
        <w:jc w:val="both"/>
      </w:pPr>
      <w:r>
        <w:t>"... België zal de richtlijn omzetten en zich strikt beperken tot wat verplicht is volgens de tekst van de EAA-richtlijn. Het zal niet verder gaan dan wat in de tekst van de richtlijn staat..."</w:t>
      </w:r>
    </w:p>
    <w:p w14:paraId="7D8499F8" w14:textId="7A88249B" w:rsidR="002511AE" w:rsidRDefault="002511AE" w:rsidP="006A4276">
      <w:pPr>
        <w:pStyle w:val="Paragraphedeliste"/>
        <w:numPr>
          <w:ilvl w:val="0"/>
          <w:numId w:val="15"/>
        </w:numPr>
        <w:spacing w:after="120"/>
      </w:pPr>
      <w:r>
        <w:t xml:space="preserve">Op 19 november 2021 ontving de CSNPH een verzoek om advies van de minister van Economie over de omzetting van het deel van de omzetting dat onder de bevoegdheid van de FOD Economie valt. </w:t>
      </w:r>
      <w:r w:rsidR="006F4AAB">
        <w:rPr>
          <w:lang w:val="fr-FR"/>
        </w:rPr>
        <w:t xml:space="preserve">In antwoord daarop heeft de CSNPH </w:t>
      </w:r>
      <w:hyperlink r:id="rId25" w:history="1">
        <w:r w:rsidR="006F4AAB" w:rsidRPr="006F4AAB">
          <w:rPr>
            <w:rStyle w:val="Lienhypertexte"/>
            <w:lang w:val="fr-FR"/>
          </w:rPr>
          <w:t>op 17/01/2022</w:t>
        </w:r>
      </w:hyperlink>
      <w:r w:rsidR="006F4AAB">
        <w:rPr>
          <w:lang w:val="fr-FR"/>
        </w:rPr>
        <w:t xml:space="preserve"> advies</w:t>
      </w:r>
      <w:hyperlink r:id="rId26" w:history="1">
        <w:r w:rsidR="006F4AAB" w:rsidRPr="006F4AAB">
          <w:rPr>
            <w:rStyle w:val="Lienhypertexte"/>
            <w:lang w:val="fr-FR"/>
          </w:rPr>
          <w:t xml:space="preserve"> 2022/04</w:t>
        </w:r>
      </w:hyperlink>
      <w:r w:rsidR="006F4AAB">
        <w:rPr>
          <w:lang w:val="fr-FR"/>
        </w:rPr>
        <w:t xml:space="preserve"> uitgebracht.</w:t>
      </w:r>
    </w:p>
    <w:p w14:paraId="4669E0D6" w14:textId="71B72C32" w:rsidR="006A4276" w:rsidRPr="00B257B1" w:rsidRDefault="006A4276" w:rsidP="006A4276">
      <w:pPr>
        <w:pStyle w:val="Paragraphedeliste"/>
        <w:numPr>
          <w:ilvl w:val="0"/>
          <w:numId w:val="15"/>
        </w:numPr>
        <w:spacing w:after="120"/>
      </w:pPr>
      <w:r>
        <w:t>Het CSNPH heeft een verzoek om advies ontvangen van de minister van Economie (brief van 23 mei 2025). Dit verzoek had betrekking op het "</w:t>
      </w:r>
      <w:r w:rsidRPr="002A37C0">
        <w:rPr>
          <w:lang w:val="fr-FR"/>
        </w:rPr>
        <w:t>ontwerp van richtsnoeren inzake de toegankelijkheid van elektronische handelsdiensten</w:t>
      </w:r>
      <w:r>
        <w:rPr>
          <w:lang w:val="fr-FR"/>
        </w:rPr>
        <w:t xml:space="preserve">". In antwoord hierop heeft het CSNPH </w:t>
      </w:r>
      <w:hyperlink r:id="rId27" w:history="1">
        <w:r w:rsidRPr="004A2AA6">
          <w:rPr>
            <w:rStyle w:val="Lienhypertexte"/>
            <w:lang w:val="fr-FR"/>
          </w:rPr>
          <w:t>op 23 juni 2025</w:t>
        </w:r>
      </w:hyperlink>
      <w:r>
        <w:rPr>
          <w:lang w:val="fr-FR"/>
        </w:rPr>
        <w:t xml:space="preserve"> advies</w:t>
      </w:r>
      <w:hyperlink r:id="rId28" w:history="1">
        <w:r w:rsidRPr="004A2AA6">
          <w:rPr>
            <w:rStyle w:val="Lienhypertexte"/>
            <w:lang w:val="fr-FR"/>
          </w:rPr>
          <w:t xml:space="preserve"> 2025/17</w:t>
        </w:r>
      </w:hyperlink>
      <w:r>
        <w:rPr>
          <w:lang w:val="fr-FR"/>
        </w:rPr>
        <w:t xml:space="preserve"> uitgebracht. </w:t>
      </w:r>
      <w:commentRangeStart w:id="3"/>
      <w:r w:rsidR="006F4AAB">
        <w:rPr>
          <w:lang w:val="fr-FR"/>
        </w:rPr>
        <w:t>De andere instanties die belast zijn met de omzetting van het deel van de richtlijn dat op hen betrekking heeft, hebben geen advies gevraagd aan de vertegenwoordigende instanties van personen met een handicap die bevoegd zijn voor hun bevoegdheidsniveau.</w:t>
      </w:r>
      <w:commentRangeEnd w:id="3"/>
      <w:r w:rsidR="006F4AAB">
        <w:rPr>
          <w:rStyle w:val="Marquedecommentaire"/>
        </w:rPr>
        <w:commentReference w:id="3"/>
      </w:r>
      <w:r>
        <w:rPr>
          <w:lang w:val="fr-FR"/>
        </w:rPr>
        <w:br/>
        <w:t xml:space="preserve"> Opgemerkt moet worden dat dit advies slechts betrekking heeft op een deel van de aspecten van de omzetting van de EAA-richtlijn en dat de </w:t>
      </w:r>
      <w:r>
        <w:rPr>
          <w:lang w:val="fr-FR"/>
        </w:rPr>
        <w:lastRenderedPageBreak/>
        <w:t>regionale en communautaire adviesraden niet zijn geraadpleegd over de aspecten die onder hun bevoegdheid vallen.</w:t>
      </w:r>
    </w:p>
    <w:p w14:paraId="66E33BB2" w14:textId="37253B66" w:rsidR="006A4276" w:rsidRDefault="006A4276" w:rsidP="006A4276">
      <w:pPr>
        <w:spacing w:after="120"/>
        <w:jc w:val="both"/>
      </w:pPr>
      <w:r>
        <w:t xml:space="preserve">Wat de omzetting betreft </w:t>
      </w:r>
      <w:r w:rsidR="00664554">
        <w:t xml:space="preserve">die </w:t>
      </w:r>
      <w:r>
        <w:t xml:space="preserve">door het IBPT </w:t>
      </w:r>
      <w:r w:rsidR="00664554">
        <w:t xml:space="preserve">zou </w:t>
      </w:r>
      <w:r>
        <w:t>worden beheerd, is er geen advies gevraagd aan de organisaties die personen met een handicap vertegenwoordigen, noch is er enig ander overleg gepleegd.</w:t>
      </w:r>
    </w:p>
    <w:p w14:paraId="36760038" w14:textId="7BF44039" w:rsidR="006A4276" w:rsidRDefault="006A4276" w:rsidP="006A4276">
      <w:pPr>
        <w:spacing w:after="120"/>
        <w:jc w:val="both"/>
      </w:pPr>
      <w:r>
        <w:t xml:space="preserve">Het platform plaatst vraagtekens bij de geldigheid van een procedure die bedoeld is </w:t>
      </w:r>
      <w:r w:rsidR="006F4AAB">
        <w:t xml:space="preserve">om </w:t>
      </w:r>
      <w:r>
        <w:t xml:space="preserve">de toegankelijkheid van goederen en diensten voor personen met een handicap </w:t>
      </w:r>
      <w:r w:rsidR="006F4AAB">
        <w:t>te waarborgen</w:t>
      </w:r>
      <w:r>
        <w:t xml:space="preserve">, maar die niet echt rekening houdt met de verwachtingen </w:t>
      </w:r>
      <w:r w:rsidR="006F4AAB">
        <w:t xml:space="preserve">van de betrokkenen </w:t>
      </w:r>
      <w:r>
        <w:t xml:space="preserve">door zich te beperken tot een </w:t>
      </w:r>
      <w:r w:rsidR="006F4AAB">
        <w:t xml:space="preserve">gedeeltelijke </w:t>
      </w:r>
      <w:r>
        <w:t>en "pro forma" raadpleging.</w:t>
      </w:r>
    </w:p>
    <w:p w14:paraId="2168281B" w14:textId="77777777" w:rsidR="007B45B4" w:rsidRPr="0042348E" w:rsidRDefault="007B45B4" w:rsidP="007B45B4">
      <w:pPr>
        <w:pStyle w:val="Paragraphedeliste"/>
        <w:numPr>
          <w:ilvl w:val="0"/>
          <w:numId w:val="4"/>
        </w:numPr>
        <w:spacing w:after="120"/>
        <w:ind w:left="284"/>
        <w:jc w:val="both"/>
        <w:rPr>
          <w:b/>
          <w:bCs/>
        </w:rPr>
      </w:pPr>
      <w:r>
        <w:rPr>
          <w:b/>
          <w:bCs/>
        </w:rPr>
        <w:t xml:space="preserve">De reikwijdte van de richtlijn </w:t>
      </w:r>
    </w:p>
    <w:p w14:paraId="33D747F6" w14:textId="10B8B8B0" w:rsidR="007B45B4" w:rsidRDefault="007B45B4" w:rsidP="007B45B4">
      <w:pPr>
        <w:spacing w:after="120"/>
        <w:jc w:val="both"/>
      </w:pPr>
      <w:r w:rsidRPr="00EA3ADD">
        <w:t xml:space="preserve">De richtlijn </w:t>
      </w:r>
      <w:r w:rsidR="002A0EA1">
        <w:t>is getiteld "European Accessibility Act". Deze titel</w:t>
      </w:r>
      <w:r w:rsidR="00F3090F">
        <w:t xml:space="preserve">, die doet denken aan de titel "American Disability Act", </w:t>
      </w:r>
      <w:r w:rsidR="002A0EA1">
        <w:t>wekt een verkeerde indruk bij potentieel geïnteresseerden</w:t>
      </w:r>
      <w:r w:rsidR="000F3939">
        <w:t xml:space="preserve">. Deze titel suggereert namelijk dat de richtlijn de universele toegankelijkheid van alle producten en diensten </w:t>
      </w:r>
      <w:r w:rsidR="002A0EA1">
        <w:t xml:space="preserve">in Europa </w:t>
      </w:r>
      <w:r w:rsidR="000F3939">
        <w:t>garandeert</w:t>
      </w:r>
      <w:r w:rsidR="002A0EA1">
        <w:t xml:space="preserve">. </w:t>
      </w:r>
    </w:p>
    <w:p w14:paraId="65BC0E53" w14:textId="23D4CF89" w:rsidR="000F3939" w:rsidRPr="00EA3ADD" w:rsidRDefault="000F3939" w:rsidP="007B45B4">
      <w:pPr>
        <w:spacing w:after="120"/>
        <w:jc w:val="both"/>
      </w:pPr>
      <w:r>
        <w:t>Dat is echter niet het geval en de reikwijdte van de EAA is beperkter: zij heeft voornamelijk betrekking op elektronisch geleverde producten en diensten en op online beschikbare informatie over producten en diensten.</w:t>
      </w:r>
    </w:p>
    <w:p w14:paraId="64F06C07" w14:textId="4688D7B5" w:rsidR="007B45B4" w:rsidRPr="0042348E" w:rsidRDefault="00A64718" w:rsidP="007B45B4">
      <w:pPr>
        <w:pStyle w:val="Paragraphedeliste"/>
        <w:numPr>
          <w:ilvl w:val="0"/>
          <w:numId w:val="4"/>
        </w:numPr>
        <w:spacing w:before="240" w:after="120"/>
        <w:ind w:left="283" w:hanging="357"/>
        <w:contextualSpacing w:val="0"/>
        <w:jc w:val="both"/>
        <w:rPr>
          <w:rFonts w:cs="Calibri"/>
          <w:b/>
          <w:bCs/>
          <w:szCs w:val="22"/>
        </w:rPr>
      </w:pPr>
      <w:r>
        <w:rPr>
          <w:rFonts w:cs="Calibri"/>
          <w:b/>
          <w:bCs/>
          <w:szCs w:val="22"/>
        </w:rPr>
        <w:t xml:space="preserve">Informatie </w:t>
      </w:r>
      <w:r w:rsidR="00DD6321">
        <w:rPr>
          <w:rFonts w:cs="Calibri"/>
          <w:b/>
          <w:bCs/>
          <w:szCs w:val="22"/>
        </w:rPr>
        <w:t xml:space="preserve">op het niveau van de FOD Economie, </w:t>
      </w:r>
      <w:r w:rsidR="00E85772">
        <w:rPr>
          <w:rFonts w:cs="Calibri"/>
          <w:b/>
          <w:bCs/>
          <w:szCs w:val="22"/>
        </w:rPr>
        <w:t xml:space="preserve">volledige </w:t>
      </w:r>
      <w:r w:rsidR="00DD6321">
        <w:rPr>
          <w:rFonts w:cs="Calibri"/>
          <w:b/>
          <w:bCs/>
          <w:szCs w:val="22"/>
        </w:rPr>
        <w:t>"</w:t>
      </w:r>
      <w:r w:rsidR="009C7573">
        <w:rPr>
          <w:rFonts w:cs="Calibri"/>
          <w:b/>
          <w:bCs/>
          <w:szCs w:val="22"/>
        </w:rPr>
        <w:t>leveranciersinformatie</w:t>
      </w:r>
      <w:r w:rsidR="00DD6321">
        <w:rPr>
          <w:rFonts w:cs="Calibri"/>
          <w:b/>
          <w:bCs/>
          <w:szCs w:val="22"/>
        </w:rPr>
        <w:t>"</w:t>
      </w:r>
    </w:p>
    <w:p w14:paraId="75C418F4" w14:textId="77777777" w:rsidR="00E85772" w:rsidRDefault="00E85772" w:rsidP="00E85772">
      <w:pPr>
        <w:spacing w:after="120"/>
      </w:pPr>
      <w:r>
        <w:t>Het Platform stelt vast dat de website van de FOD Economie dienstverleners blijkbaar volledige uitleg geeft over de verplichtingen die sinds de inwerkingtreding van de richtlijn op hen van toepassing zijn.</w:t>
      </w:r>
    </w:p>
    <w:p w14:paraId="606E5A40" w14:textId="77777777" w:rsidR="0097794A" w:rsidRDefault="00E85772" w:rsidP="00E85772">
      <w:pPr>
        <w:spacing w:after="120"/>
      </w:pPr>
      <w:commentRangeStart w:id="4"/>
      <w:r>
        <w:t>Deze informatie is te vinden in twee pdf-bestanden</w:t>
      </w:r>
      <w:r w:rsidR="0097794A">
        <w:t>:</w:t>
      </w:r>
    </w:p>
    <w:commentRangeEnd w:id="4"/>
    <w:p w14:paraId="7EFE48D7" w14:textId="6B4E3F2C" w:rsidR="00E85772" w:rsidRDefault="00E85772" w:rsidP="0097794A">
      <w:pPr>
        <w:pStyle w:val="Paragraphedeliste"/>
        <w:numPr>
          <w:ilvl w:val="0"/>
          <w:numId w:val="19"/>
        </w:numPr>
        <w:spacing w:after="120"/>
      </w:pPr>
      <w:r>
        <w:rPr>
          <w:rStyle w:val="Marquedecommentaire"/>
        </w:rPr>
        <w:commentReference w:id="4"/>
      </w:r>
      <w:hyperlink r:id="rId29" w:history="1">
        <w:r w:rsidR="0097794A" w:rsidRPr="00160366">
          <w:rPr>
            <w:rStyle w:val="Lienhypertexte"/>
            <w:lang w:val="en-US"/>
          </w:rPr>
          <w:t>Richtlijnen "Toegankelijkheid van bankdiensten" (pdf, 578,49 kB)</w:t>
        </w:r>
      </w:hyperlink>
    </w:p>
    <w:p w14:paraId="14F97F5E" w14:textId="4297EF06" w:rsidR="0097794A" w:rsidRDefault="0097794A" w:rsidP="0097794A">
      <w:pPr>
        <w:pStyle w:val="Paragraphedeliste"/>
        <w:numPr>
          <w:ilvl w:val="0"/>
          <w:numId w:val="19"/>
        </w:numPr>
        <w:spacing w:after="120"/>
      </w:pPr>
      <w:hyperlink r:id="rId30" w:history="1">
        <w:r w:rsidRPr="00160366">
          <w:rPr>
            <w:rStyle w:val="Lienhypertexte"/>
            <w:lang w:val="en-US"/>
          </w:rPr>
          <w:t>Richtlijnen "Toegankelijkheid van e-commercediensten" (PDF, 556,54 KB)</w:t>
        </w:r>
      </w:hyperlink>
    </w:p>
    <w:p w14:paraId="631FEE3A" w14:textId="476C09B4" w:rsidR="00CD4809" w:rsidRPr="00253AFF" w:rsidRDefault="00A64718" w:rsidP="009C7573">
      <w:pPr>
        <w:pStyle w:val="Paragraphedeliste"/>
        <w:numPr>
          <w:ilvl w:val="0"/>
          <w:numId w:val="4"/>
        </w:numPr>
        <w:spacing w:before="240" w:after="120"/>
        <w:ind w:left="283" w:hanging="357"/>
        <w:contextualSpacing w:val="0"/>
        <w:jc w:val="both"/>
        <w:rPr>
          <w:rFonts w:cs="Calibri"/>
          <w:b/>
          <w:bCs/>
          <w:szCs w:val="22"/>
        </w:rPr>
      </w:pPr>
      <w:r>
        <w:rPr>
          <w:rFonts w:cs="Calibri"/>
          <w:b/>
          <w:bCs/>
          <w:szCs w:val="22"/>
        </w:rPr>
        <w:t xml:space="preserve">Informatie op </w:t>
      </w:r>
      <w:r w:rsidR="00DD6321">
        <w:rPr>
          <w:rFonts w:cs="Calibri"/>
          <w:b/>
          <w:bCs/>
          <w:szCs w:val="22"/>
        </w:rPr>
        <w:t xml:space="preserve">het niveau van de FOD Economie, </w:t>
      </w:r>
      <w:r w:rsidR="00DD6321">
        <w:rPr>
          <w:b/>
          <w:bCs/>
        </w:rPr>
        <w:t xml:space="preserve">zeer beknopte </w:t>
      </w:r>
      <w:r w:rsidR="00DD6321">
        <w:rPr>
          <w:rFonts w:cs="Calibri"/>
          <w:b/>
          <w:bCs/>
          <w:szCs w:val="22"/>
        </w:rPr>
        <w:t>informatie voor "</w:t>
      </w:r>
      <w:r w:rsidR="009C7573" w:rsidRPr="00253AFF">
        <w:rPr>
          <w:b/>
          <w:bCs/>
        </w:rPr>
        <w:t>gebruikers</w:t>
      </w:r>
      <w:r w:rsidR="00DD6321">
        <w:rPr>
          <w:b/>
          <w:bCs/>
        </w:rPr>
        <w:t>"</w:t>
      </w:r>
    </w:p>
    <w:p w14:paraId="1D7D59DD" w14:textId="2E09D3EE" w:rsidR="00CD4809" w:rsidRDefault="00253AFF" w:rsidP="003E42F8">
      <w:pPr>
        <w:spacing w:after="120"/>
      </w:pPr>
      <w:r>
        <w:t xml:space="preserve">Het platform stelt vast dat de informatie voor leveranciers weliswaar correct op de website van de FOD Economie staat, maar dat de informatie voor </w:t>
      </w:r>
      <w:r w:rsidR="004A2AA6">
        <w:t xml:space="preserve">eindgebruikers (personen met een handicap) </w:t>
      </w:r>
      <w:r>
        <w:t xml:space="preserve">van de betrokken diensten zeer </w:t>
      </w:r>
      <w:r w:rsidR="003E42F8">
        <w:t>minimaal</w:t>
      </w:r>
      <w:r>
        <w:t xml:space="preserve"> is </w:t>
      </w:r>
      <w:r w:rsidR="004A2AA6">
        <w:t xml:space="preserve">of </w:t>
      </w:r>
      <w:r>
        <w:t xml:space="preserve">ontbreekt. </w:t>
      </w:r>
      <w:r w:rsidR="003E42F8">
        <w:t>In ieder geval is deze informatie moeilijk te vinden:</w:t>
      </w:r>
    </w:p>
    <w:p w14:paraId="21FEE6AD" w14:textId="77777777" w:rsidR="003D473C" w:rsidRDefault="003E42F8" w:rsidP="003E42F8">
      <w:pPr>
        <w:pStyle w:val="Paragraphedeliste"/>
        <w:numPr>
          <w:ilvl w:val="0"/>
          <w:numId w:val="9"/>
        </w:numPr>
        <w:spacing w:after="120"/>
      </w:pPr>
      <w:r>
        <w:t xml:space="preserve">Een zoekopdracht naar "EAA-richtlijn" levert 5 resultaten op, waarvan </w:t>
      </w:r>
      <w:r w:rsidR="003D473C">
        <w:t>er twee bruikbaar zijn</w:t>
      </w:r>
      <w:r>
        <w:t xml:space="preserve">. </w:t>
      </w:r>
    </w:p>
    <w:p w14:paraId="71685400" w14:textId="3524019E" w:rsidR="003E42F8" w:rsidRDefault="003D473C" w:rsidP="003D473C">
      <w:pPr>
        <w:pStyle w:val="Paragraphedeliste"/>
        <w:numPr>
          <w:ilvl w:val="1"/>
          <w:numId w:val="9"/>
        </w:numPr>
        <w:spacing w:after="120"/>
      </w:pPr>
      <w:r>
        <w:t xml:space="preserve">De eerste </w:t>
      </w:r>
      <w:r w:rsidR="003E42F8">
        <w:t xml:space="preserve">verwijst naar de pagina </w:t>
      </w:r>
      <w:hyperlink r:id="rId31" w:history="1">
        <w:r w:rsidR="003E42F8" w:rsidRPr="009F3F27">
          <w:rPr>
            <w:rStyle w:val="Lienhypertexte"/>
          </w:rPr>
          <w:t>https://news.economie.fgov.be/251714-directive-sur-l-accessibilite-un-pas-en-avant-pour-une-societe-plus-inclusive/</w:t>
        </w:r>
      </w:hyperlink>
      <w:r>
        <w:t xml:space="preserve"> . Deze pagina geeft een goed algemeen overzicht van de richtlijn, die duidelijk gericht is op bedrijven ( )</w:t>
      </w:r>
      <w:r w:rsidR="007B2336">
        <w:t>, maar ook enkele verspreide informatie bevat die interessant is voor consumenten</w:t>
      </w:r>
      <w:r>
        <w:t>.</w:t>
      </w:r>
    </w:p>
    <w:p w14:paraId="44B8A3D3" w14:textId="5F3097A9" w:rsidR="00160366" w:rsidRPr="00160366" w:rsidRDefault="003D473C" w:rsidP="00160366">
      <w:pPr>
        <w:pStyle w:val="Paragraphedeliste"/>
        <w:numPr>
          <w:ilvl w:val="1"/>
          <w:numId w:val="9"/>
        </w:numPr>
        <w:spacing w:after="120"/>
        <w:rPr>
          <w:lang w:val="en-US"/>
        </w:rPr>
      </w:pPr>
      <w:r>
        <w:t xml:space="preserve">De tweede verwijst naar de pagina </w:t>
      </w:r>
      <w:hyperlink r:id="rId32" w:history="1">
        <w:r w:rsidRPr="009F3F27">
          <w:rPr>
            <w:rStyle w:val="Lienhypertexte"/>
          </w:rPr>
          <w:t>https://economie.fgov.be/fr/themes/entreprises/guidance/cadre-legal-concernant</w:t>
        </w:r>
      </w:hyperlink>
      <w:r>
        <w:t xml:space="preserve"> . Deze pagina bevat algemene informatie over de toegankelijkheid </w:t>
      </w:r>
      <w:r w:rsidR="00AF7BEC">
        <w:t xml:space="preserve">van bankdiensten en/of elektronische handel: ervoor zorgen dat de informatie via ten minste twee verschillende zintuiglijke kanalen op begrijpelijke wijze wordt verstrekt, dat </w:t>
      </w:r>
      <w:r w:rsidR="00AF7BEC">
        <w:lastRenderedPageBreak/>
        <w:t xml:space="preserve">afbeeldingen worden </w:t>
      </w:r>
      <w:r w:rsidR="00160366">
        <w:t xml:space="preserve">beschreven, dat het lettertype aanpasbaar is, enz. </w:t>
      </w:r>
      <w:r w:rsidR="00F90634">
        <w:br/>
      </w:r>
      <w:r w:rsidR="00160366">
        <w:t xml:space="preserve">Ze geeft ook links naar een richtlijn voor de toegankelijkheid van bankdiensten </w:t>
      </w:r>
      <w:hyperlink r:id="rId33" w:history="1">
        <w:r w:rsidR="00160366" w:rsidRPr="00160366">
          <w:rPr>
            <w:rStyle w:val="Lienhypertexte"/>
            <w:lang w:val="en-US"/>
          </w:rPr>
          <w:t>Richtlijnen "Toegankelijkheid van bankdiensten" (PDF, 578,49 KB)</w:t>
        </w:r>
      </w:hyperlink>
      <w:r w:rsidR="00160366">
        <w:t xml:space="preserve"> en een richtlijn voor de toegankelijkheid van e-commerce diensten </w:t>
      </w:r>
      <w:hyperlink r:id="rId34" w:history="1">
        <w:r w:rsidR="00160366" w:rsidRPr="00160366">
          <w:rPr>
            <w:rStyle w:val="Lienhypertexte"/>
            <w:lang w:val="en-US"/>
          </w:rPr>
          <w:t>Richtlijnen "Toegankelijkheid van e-commerce diensten" (PDF, 556,54 KB)</w:t>
        </w:r>
      </w:hyperlink>
      <w:r w:rsidR="00160366">
        <w:t xml:space="preserve">. </w:t>
      </w:r>
      <w:r w:rsidR="00F90634">
        <w:br/>
      </w:r>
      <w:r w:rsidR="00160366">
        <w:t xml:space="preserve">Zij preciseert dat aanbieders van bank- of e-commercediensten niet aan deze eisen hoeven te voldoen wanneer de nodige aanpassingen "een onevenredige last vormen" of een </w:t>
      </w:r>
      <w:r w:rsidR="007B2336">
        <w:t>fundamentele</w:t>
      </w:r>
      <w:r w:rsidR="00160366">
        <w:t xml:space="preserve"> wijziging vereisen die de dienst radicaal zou veranderen. In beide gevallen moet het bedrijf dit melden aan de economische inspectie via een onlineformulier </w:t>
      </w:r>
      <w:r w:rsidR="007B2336">
        <w:t xml:space="preserve">dat toegankelijk is via een brede donkergroene balk met het opschrift </w:t>
      </w:r>
      <w:r w:rsidR="00B77999">
        <w:t>"</w:t>
      </w:r>
      <w:r w:rsidR="007B2336">
        <w:t>formulier" in witte letters</w:t>
      </w:r>
      <w:r w:rsidR="00160366">
        <w:t xml:space="preserve">. </w:t>
      </w:r>
      <w:r w:rsidR="00F90634">
        <w:br/>
        <w:t>Het biedt de mogelijkheid om een gebrek aan toegankelijkheid van een bank- of e-commerce dienst aan de economische inspectie te melden. Dit kan via een internetlink, door een e-mail te sturen naar een speciaal adres of per post. Verrassend genoeg is er hier geen banner zoals die wordt gebruikt voor een verzoek om vrijstelling...</w:t>
      </w:r>
      <w:r w:rsidR="00F90634">
        <w:br/>
        <w:t xml:space="preserve">Ten slotte </w:t>
      </w:r>
      <w:r w:rsidR="00065BA3">
        <w:t>worden</w:t>
      </w:r>
      <w:r w:rsidR="00F90634">
        <w:t xml:space="preserve"> ook </w:t>
      </w:r>
      <w:r w:rsidR="004F0B3A">
        <w:t xml:space="preserve">de andere instanties </w:t>
      </w:r>
      <w:r w:rsidR="00065BA3">
        <w:t xml:space="preserve">vermeld </w:t>
      </w:r>
      <w:r w:rsidR="004F0B3A">
        <w:t>die belast zijn met de handhaving van de richtlijn... De toename van het aantal controle-instanties is een realiteit in België, maar dit maakt het voor de gebruikers erg ingewikkeld...</w:t>
      </w:r>
    </w:p>
    <w:p w14:paraId="641F28BA" w14:textId="74AA8F5E" w:rsidR="003D473C" w:rsidRDefault="003D473C" w:rsidP="00065BA3">
      <w:pPr>
        <w:pStyle w:val="Paragraphedeliste"/>
        <w:spacing w:after="120"/>
        <w:ind w:left="1440"/>
      </w:pPr>
    </w:p>
    <w:p w14:paraId="18F5CD11" w14:textId="3FB1BBFB" w:rsidR="003E42F8" w:rsidRDefault="003E42F8" w:rsidP="003E42F8">
      <w:pPr>
        <w:pStyle w:val="Paragraphedeliste"/>
        <w:numPr>
          <w:ilvl w:val="0"/>
          <w:numId w:val="9"/>
        </w:numPr>
        <w:spacing w:after="120"/>
      </w:pPr>
      <w:r>
        <w:t xml:space="preserve">Een zoekopdracht op de trefwoorden "consumentenbescherming" levert geen resultaten op met betrekking tot de uitvoering van de EAA-richtlijn </w:t>
      </w:r>
      <w:r w:rsidR="00E6796C">
        <w:t>en de wijze waarop een klacht kan worden ingediend in geval van gebrekkige toegankelijkheid</w:t>
      </w:r>
      <w:r w:rsidR="0098337F">
        <w:t xml:space="preserve">. Toch </w:t>
      </w:r>
      <w:r w:rsidR="009E5C8C">
        <w:t xml:space="preserve">zal een consument </w:t>
      </w:r>
      <w:r w:rsidR="0098337F">
        <w:t xml:space="preserve">of consument </w:t>
      </w:r>
      <w:r w:rsidR="009E5C8C">
        <w:t xml:space="preserve">met een handicap die bijvoorbeeld te maken heeft met gebrekkige toegankelijkheid van bankdiensten, waarschijnlijk in de eerste plaats op deze termen zoeken... </w:t>
      </w:r>
      <w:r w:rsidR="00B77999">
        <w:t xml:space="preserve">Bovendien </w:t>
      </w:r>
      <w:r w:rsidR="009E5C8C">
        <w:t>bestaat er een pagina "</w:t>
      </w:r>
      <w:hyperlink r:id="rId35" w:tgtFrame="_blank" w:history="1">
        <w:r w:rsidR="009E5C8C" w:rsidRPr="009E5C8C">
          <w:rPr>
            <w:rStyle w:val="Lienhypertexte"/>
          </w:rPr>
          <w:t xml:space="preserve"> </w:t>
        </w:r>
        <w:proofErr w:type="spellStart"/>
        <w:r w:rsidR="009E5C8C" w:rsidRPr="009E5C8C">
          <w:rPr>
            <w:rStyle w:val="Lienhypertexte"/>
          </w:rPr>
          <w:t>ConsumerConnect</w:t>
        </w:r>
        <w:proofErr w:type="spellEnd"/>
      </w:hyperlink>
      <w:r w:rsidR="009E5C8C">
        <w:t xml:space="preserve"> ". Een link naar deze pagina zou nuttig zijn</w:t>
      </w:r>
      <w:r w:rsidR="0098337F">
        <w:t xml:space="preserve">. </w:t>
      </w:r>
    </w:p>
    <w:p w14:paraId="60D41968" w14:textId="1F5612D6" w:rsidR="003E42F8" w:rsidRPr="00DD6321" w:rsidRDefault="00DD6321" w:rsidP="00DD6321">
      <w:pPr>
        <w:spacing w:after="120"/>
        <w:rPr>
          <w:b/>
          <w:bCs/>
        </w:rPr>
      </w:pPr>
      <w:r w:rsidRPr="00DD6321">
        <w:rPr>
          <w:b/>
          <w:bCs/>
        </w:rPr>
        <w:t xml:space="preserve">d) </w:t>
      </w:r>
      <w:r w:rsidR="00A64718">
        <w:rPr>
          <w:b/>
          <w:bCs/>
        </w:rPr>
        <w:t xml:space="preserve">Informatie op </w:t>
      </w:r>
      <w:r w:rsidRPr="00DD6321">
        <w:rPr>
          <w:b/>
          <w:bCs/>
        </w:rPr>
        <w:t>het niveau van het BIPT</w:t>
      </w:r>
    </w:p>
    <w:p w14:paraId="46D362AF" w14:textId="653EF128" w:rsidR="00DD6321" w:rsidRDefault="00DD6321" w:rsidP="00DD6321">
      <w:pPr>
        <w:spacing w:after="120"/>
      </w:pPr>
      <w:r>
        <w:t>Een zoekopdracht op de website van het BIPT leverde geen resultaten op met de zoektermen "EAA"</w:t>
      </w:r>
      <w:r w:rsidR="000251F5">
        <w:t xml:space="preserve">, </w:t>
      </w:r>
      <w:r>
        <w:t xml:space="preserve">"European accessibility act" </w:t>
      </w:r>
      <w:r w:rsidR="000251F5">
        <w:t>en "</w:t>
      </w:r>
      <w:r w:rsidR="000251F5" w:rsidRPr="007355E9">
        <w:t>Europese richtlijn (EU) 2019/882</w:t>
      </w:r>
      <w:r w:rsidR="000251F5">
        <w:t>".</w:t>
      </w:r>
    </w:p>
    <w:p w14:paraId="03FC8C6F" w14:textId="4D5C1D70" w:rsidR="000251F5" w:rsidRDefault="000251F5" w:rsidP="00DD6321">
      <w:pPr>
        <w:spacing w:after="120"/>
      </w:pPr>
      <w:r>
        <w:t xml:space="preserve">Wat betreft de mogelijkheid om een klacht in te dienen bij het BIPT, is het enige formulier dat op de website van het BIPT te vinden is, het </w:t>
      </w:r>
      <w:hyperlink r:id="rId36" w:history="1">
        <w:r w:rsidRPr="00E27D96">
          <w:rPr>
            <w:rStyle w:val="Lienhypertexte"/>
          </w:rPr>
          <w:t>volgendehttps://www.ibpt.be/consumenten/publicatie/klacht-tegen-een-dienst-van-het-bpt</w:t>
        </w:r>
      </w:hyperlink>
      <w:r>
        <w:t xml:space="preserve">, maar dit formulier is bedoeld voor het indienen van een klacht over een dienst van de bpt- n niet </w:t>
      </w:r>
      <w:r w:rsidR="00EC5D1A">
        <w:t>over een productaanbieder</w:t>
      </w:r>
      <w:r>
        <w:t>,</w:t>
      </w:r>
      <w:r w:rsidR="00EC5D1A">
        <w:t xml:space="preserve"> zoals vermeld op de website van de FOD Economie. De procedure is dus onduidelijk en een eventuele opvolging is verre van gegarandeerd.</w:t>
      </w:r>
    </w:p>
    <w:p w14:paraId="56C51CAB" w14:textId="6F048798" w:rsidR="00EC5D1A" w:rsidRDefault="00EC5D1A">
      <w:pPr>
        <w:rPr>
          <w:b/>
          <w:bCs/>
        </w:rPr>
      </w:pPr>
      <w:r w:rsidRPr="00EC5D1A">
        <w:rPr>
          <w:b/>
          <w:bCs/>
        </w:rPr>
        <w:t xml:space="preserve">e) </w:t>
      </w:r>
      <w:r w:rsidR="00A64718">
        <w:rPr>
          <w:b/>
          <w:bCs/>
        </w:rPr>
        <w:t xml:space="preserve">Informatie op </w:t>
      </w:r>
      <w:r w:rsidRPr="00EC5D1A">
        <w:rPr>
          <w:b/>
          <w:bCs/>
        </w:rPr>
        <w:t xml:space="preserve">het niveau </w:t>
      </w:r>
      <w:r>
        <w:rPr>
          <w:b/>
          <w:bCs/>
        </w:rPr>
        <w:t>van de Gemeenschappen</w:t>
      </w:r>
    </w:p>
    <w:p w14:paraId="0ADC6BA1" w14:textId="066C2A7A" w:rsidR="00E6796C" w:rsidRDefault="00C73877" w:rsidP="00E6796C">
      <w:r>
        <w:t xml:space="preserve">Op het niveau van de </w:t>
      </w:r>
      <w:r w:rsidR="00EC5D1A" w:rsidRPr="00EC5D1A">
        <w:t>Franse Gemeenschap</w:t>
      </w:r>
      <w:r w:rsidR="001D5FC6">
        <w:t xml:space="preserve">, </w:t>
      </w:r>
      <w:r w:rsidR="00EC5D1A">
        <w:t xml:space="preserve">de Duitstalige Gemeenschap </w:t>
      </w:r>
      <w:r>
        <w:t xml:space="preserve">en </w:t>
      </w:r>
      <w:r w:rsidR="00EC5D1A">
        <w:t xml:space="preserve">de Vlaamse Gemeenschap </w:t>
      </w:r>
      <w:r>
        <w:t xml:space="preserve">kon op basis van een bezoek aan de respectieve websites niet worden vastgesteld welke procedure is ingesteld voor het indienen van een klacht. </w:t>
      </w:r>
    </w:p>
    <w:p w14:paraId="7AFF5F6E" w14:textId="77777777" w:rsidR="00A81858" w:rsidRDefault="00A81858" w:rsidP="00E6796C"/>
    <w:p w14:paraId="4BB0C6C6" w14:textId="4FE6F9BF" w:rsidR="00A81858" w:rsidRPr="00A81858" w:rsidRDefault="00A81858" w:rsidP="00A81858">
      <w:pPr>
        <w:spacing w:after="120"/>
        <w:jc w:val="both"/>
        <w:rPr>
          <w:b/>
          <w:bCs/>
        </w:rPr>
      </w:pPr>
      <w:r w:rsidRPr="00A81858">
        <w:rPr>
          <w:b/>
          <w:bCs/>
        </w:rPr>
        <w:t xml:space="preserve">f) </w:t>
      </w:r>
      <w:r w:rsidR="00A64718">
        <w:rPr>
          <w:b/>
          <w:bCs/>
        </w:rPr>
        <w:t xml:space="preserve">Informatie op </w:t>
      </w:r>
      <w:r w:rsidRPr="00A81858">
        <w:rPr>
          <w:b/>
          <w:bCs/>
        </w:rPr>
        <w:t>het niveau van het vervoer</w:t>
      </w:r>
    </w:p>
    <w:p w14:paraId="57C684B4" w14:textId="5071FE5D" w:rsidR="00A81858" w:rsidRDefault="00A81858" w:rsidP="00A81858">
      <w:pPr>
        <w:spacing w:after="120"/>
        <w:jc w:val="both"/>
      </w:pPr>
      <w:r>
        <w:lastRenderedPageBreak/>
        <w:t xml:space="preserve">De website </w:t>
      </w:r>
      <w:hyperlink r:id="rId37" w:history="1">
        <w:r w:rsidRPr="00D052E2">
          <w:rPr>
            <w:rStyle w:val="Lienhypertexte"/>
          </w:rPr>
          <w:t>https://mobilit.belgium.be/fr/contact/informations-generales</w:t>
        </w:r>
      </w:hyperlink>
      <w:r>
        <w:t xml:space="preserve"> van de Federale Overheidsdienst Mobiliteit en Vervoer geeft gebruikers </w:t>
      </w:r>
    </w:p>
    <w:p w14:paraId="75DDC102" w14:textId="55ACC9B2" w:rsidR="00A81858" w:rsidRDefault="00A81858" w:rsidP="00A81858">
      <w:pPr>
        <w:pStyle w:val="Paragraphedeliste"/>
        <w:numPr>
          <w:ilvl w:val="0"/>
          <w:numId w:val="16"/>
        </w:numPr>
        <w:spacing w:after="120"/>
        <w:jc w:val="both"/>
      </w:pPr>
      <w:r>
        <w:t>essentiële informatie over de verplichtingen van vervoerders die voortvloeien uit de EAA-richtlijn</w:t>
      </w:r>
    </w:p>
    <w:p w14:paraId="57425ED7" w14:textId="77777777" w:rsidR="00A81858" w:rsidRDefault="00A81858" w:rsidP="00A81858">
      <w:pPr>
        <w:pStyle w:val="Paragraphedeliste"/>
        <w:numPr>
          <w:ilvl w:val="0"/>
          <w:numId w:val="16"/>
        </w:numPr>
        <w:spacing w:after="120"/>
        <w:jc w:val="both"/>
      </w:pPr>
      <w:r>
        <w:t>de wijze waarop een klacht kan worden ingediend wegens niet-naleving van de bepalingen van de EAA-richtlijn op het gebied van vervoer</w:t>
      </w:r>
    </w:p>
    <w:p w14:paraId="283D345A" w14:textId="77777777" w:rsidR="00A81858" w:rsidRDefault="00A81858" w:rsidP="00A81858">
      <w:pPr>
        <w:pStyle w:val="Paragraphedeliste"/>
        <w:numPr>
          <w:ilvl w:val="0"/>
          <w:numId w:val="16"/>
        </w:numPr>
        <w:spacing w:after="120"/>
        <w:jc w:val="both"/>
      </w:pPr>
      <w:r>
        <w:t>informatie over de modaliteiten voor de behandeling en opvolging van de klacht</w:t>
      </w:r>
    </w:p>
    <w:p w14:paraId="4F5D5C75" w14:textId="23969D7A" w:rsidR="00A81858" w:rsidRDefault="00846D20" w:rsidP="00E6796C">
      <w:r>
        <w:t>Om deze internetpagina te vinden, moet de gebruiker echter de term "EAA" of de referentie van de EAA-richtlijn kennen: "</w:t>
      </w:r>
      <w:r w:rsidRPr="007355E9">
        <w:t>Europese richtlijn (EU) 2019/882</w:t>
      </w:r>
      <w:r>
        <w:t>". Als hij de zoekmachine gebruikt met de term "toegankelijkheid", zal hij de gewenste pagina niet vinden.</w:t>
      </w:r>
    </w:p>
    <w:p w14:paraId="013CD90D" w14:textId="6A256CC1" w:rsidR="00A64718" w:rsidRDefault="00A64718" w:rsidP="00A64718">
      <w:pPr>
        <w:spacing w:after="120"/>
        <w:jc w:val="both"/>
      </w:pPr>
      <w:r>
        <w:t>Deze informatie is alleen beschikbaar in het Frans en het Nederlands. Duitstalige Belgen hebben dus geen toegang tot deze informatie en kunnen hun rechten niet in hun moedertaal doen gelden.</w:t>
      </w:r>
    </w:p>
    <w:p w14:paraId="26189DAF" w14:textId="4519B536" w:rsidR="00EC5D1A" w:rsidRDefault="00EC5D1A"/>
    <w:p w14:paraId="57A77773" w14:textId="6392BBAE" w:rsidR="00846D20" w:rsidRPr="00FC3A2F" w:rsidRDefault="00846D20">
      <w:pPr>
        <w:rPr>
          <w:b/>
          <w:bCs/>
        </w:rPr>
      </w:pPr>
      <w:r w:rsidRPr="00FC3A2F">
        <w:rPr>
          <w:b/>
          <w:bCs/>
        </w:rPr>
        <w:t xml:space="preserve">h) </w:t>
      </w:r>
      <w:r w:rsidR="00A64718">
        <w:rPr>
          <w:b/>
          <w:bCs/>
        </w:rPr>
        <w:t xml:space="preserve">Informatie </w:t>
      </w:r>
      <w:r w:rsidRPr="00FC3A2F">
        <w:rPr>
          <w:b/>
          <w:bCs/>
        </w:rPr>
        <w:t>over het noodnummer 112</w:t>
      </w:r>
    </w:p>
    <w:p w14:paraId="4ED0ED14" w14:textId="340EC66A" w:rsidR="00846D20" w:rsidRDefault="00FC3A2F" w:rsidP="00846D20">
      <w:pPr>
        <w:spacing w:after="120"/>
        <w:jc w:val="both"/>
      </w:pPr>
      <w:r>
        <w:t xml:space="preserve">De </w:t>
      </w:r>
      <w:r w:rsidR="00846D20">
        <w:t xml:space="preserve">FOD Binnenlandse Zaken (IBZ) </w:t>
      </w:r>
      <w:r>
        <w:t xml:space="preserve">is verantwoordelijk voor het toezicht op de uitvoering van de EAA-richtlijn </w:t>
      </w:r>
      <w:r w:rsidR="00846D20">
        <w:t>voor het alarmnummer 112</w:t>
      </w:r>
      <w:r>
        <w:t xml:space="preserve">. De website </w:t>
      </w:r>
      <w:hyperlink r:id="rId38" w:history="1">
        <w:r w:rsidRPr="00D052E2">
          <w:rPr>
            <w:rStyle w:val="Lienhypertexte"/>
          </w:rPr>
          <w:t>https://ibz.be/fr</w:t>
        </w:r>
      </w:hyperlink>
      <w:r>
        <w:t xml:space="preserve"> geeft geen informatie over de toegankelijkheid van het alarmnummer 112. </w:t>
      </w:r>
      <w:r w:rsidR="00E05A06">
        <w:t>Er wordt evenmin vermeld hoe een klacht kan worden ingediend in geval van ontoegankelijkheid.</w:t>
      </w:r>
    </w:p>
    <w:p w14:paraId="78370752" w14:textId="38CA27C1" w:rsidR="00326532" w:rsidRDefault="00326532" w:rsidP="00846D20">
      <w:pPr>
        <w:spacing w:after="120"/>
        <w:jc w:val="both"/>
      </w:pPr>
      <w:r>
        <w:t xml:space="preserve">Tot nu toe </w:t>
      </w:r>
      <w:r w:rsidRPr="00326532">
        <w:t xml:space="preserve">is het nummer 112 niet bruikbaar voor dove personen </w:t>
      </w:r>
      <w:r>
        <w:t xml:space="preserve">wier moedertaal gebarentaal is, omdat de </w:t>
      </w:r>
      <w:r w:rsidRPr="00326532">
        <w:t xml:space="preserve">software voor noodoproepen en gebarentaalvertolking niet </w:t>
      </w:r>
      <w:r w:rsidR="00A64718">
        <w:t>compatibel</w:t>
      </w:r>
      <w:r w:rsidRPr="00326532">
        <w:t xml:space="preserve"> is</w:t>
      </w:r>
      <w:r>
        <w:t xml:space="preserve">. </w:t>
      </w:r>
      <w:commentRangeStart w:id="5"/>
      <w:r>
        <w:t xml:space="preserve">Bij een noodoproep </w:t>
      </w:r>
      <w:r w:rsidRPr="00326532">
        <w:t>krijgen tolken of dove personen (???)</w:t>
      </w:r>
      <w:commentRangeEnd w:id="5"/>
      <w:r w:rsidR="00A64718">
        <w:rPr>
          <w:rStyle w:val="Marquedecommentaire"/>
        </w:rPr>
        <w:commentReference w:id="5"/>
      </w:r>
      <w:r w:rsidRPr="00326532">
        <w:t xml:space="preserve"> een wit scherm te zien</w:t>
      </w:r>
      <w:r>
        <w:t xml:space="preserve">: de persoon krijgt dus </w:t>
      </w:r>
      <w:r w:rsidR="00897D7B">
        <w:t xml:space="preserve">geen </w:t>
      </w:r>
      <w:r>
        <w:t>informatie die voor hem of haar van levensbelang is...</w:t>
      </w:r>
    </w:p>
    <w:p w14:paraId="3B588AC8" w14:textId="49FEE8F0" w:rsidR="00846D20" w:rsidRPr="00410F92" w:rsidRDefault="00410F92">
      <w:pPr>
        <w:rPr>
          <w:b/>
          <w:bCs/>
        </w:rPr>
      </w:pPr>
      <w:r w:rsidRPr="00410F92">
        <w:rPr>
          <w:b/>
          <w:bCs/>
        </w:rPr>
        <w:t>i) Verlengde implementatietermijn voor micro-ondernemingen</w:t>
      </w:r>
    </w:p>
    <w:p w14:paraId="18DEE269" w14:textId="4037C739" w:rsidR="00410F92" w:rsidRDefault="00410F92">
      <w:r>
        <w:t xml:space="preserve">Wat de implementatie betreft, krijgen micro-ondernemingen een extra termijn van 5 jaar, namelijk tot 28 juni 2030. Dit is niet onbelangrijk, aangezien micro-ondernemingen de overgrote meerderheid van de ondernemingen in België vertegenwoordigen: </w:t>
      </w:r>
      <w:hyperlink r:id="rId39" w:history="1">
        <w:r w:rsidRPr="009F3F27">
          <w:rPr>
            <w:rStyle w:val="Lienhypertexte"/>
          </w:rPr>
          <w:t>https://statbel.fgov.be/fr/nouvelles/statistiques-structurelles-des-entreprises-2022-959-des-entreprises-belges-sont-des-micro</w:t>
        </w:r>
      </w:hyperlink>
    </w:p>
    <w:p w14:paraId="756BD109" w14:textId="77777777" w:rsidR="00410F92" w:rsidRPr="00EC5D1A" w:rsidRDefault="00410F92"/>
    <w:p w14:paraId="546A2F4E" w14:textId="77777777" w:rsidR="00253AFF" w:rsidRDefault="00253AFF"/>
    <w:p w14:paraId="58C18885" w14:textId="4EBA6776" w:rsidR="00253AFF" w:rsidRPr="0098337F" w:rsidRDefault="0098337F">
      <w:pPr>
        <w:rPr>
          <w:b/>
          <w:bCs/>
        </w:rPr>
      </w:pPr>
      <w:r w:rsidRPr="0098337F">
        <w:rPr>
          <w:b/>
          <w:bCs/>
        </w:rPr>
        <w:t xml:space="preserve">4. </w:t>
      </w:r>
      <w:r w:rsidRPr="0098337F">
        <w:rPr>
          <w:b/>
          <w:bCs/>
          <w:u w:val="single"/>
        </w:rPr>
        <w:t>ADVIES</w:t>
      </w:r>
    </w:p>
    <w:p w14:paraId="6114F184" w14:textId="13FF12B5" w:rsidR="00253AFF" w:rsidRDefault="00E85772">
      <w:r>
        <w:t xml:space="preserve">Het adviesplatform </w:t>
      </w:r>
    </w:p>
    <w:p w14:paraId="4D7D8594" w14:textId="77777777" w:rsidR="00253AFF" w:rsidRDefault="00253AFF"/>
    <w:p w14:paraId="556E1529" w14:textId="2F04E341" w:rsidR="00CD4809" w:rsidRPr="00A64718" w:rsidRDefault="00CD4809" w:rsidP="008B1438">
      <w:pPr>
        <w:spacing w:after="120"/>
        <w:rPr>
          <w:b/>
          <w:bCs/>
        </w:rPr>
      </w:pPr>
      <w:r>
        <w:t xml:space="preserve">stelt vast dat het overleg tijdens de omzettingsfase beperkt is gebleven tot een "pro forma"-benadering. </w:t>
      </w:r>
      <w:r w:rsidR="008B1438">
        <w:br/>
      </w:r>
      <w:r w:rsidRPr="00A64718">
        <w:rPr>
          <w:b/>
          <w:bCs/>
        </w:rPr>
        <w:sym w:font="Wingdings" w:char="F0E8"/>
      </w:r>
      <w:r w:rsidRPr="00A64718">
        <w:rPr>
          <w:b/>
          <w:bCs/>
        </w:rPr>
        <w:t xml:space="preserve"> Vraagt dat voor elke toekomstige omzetting </w:t>
      </w:r>
      <w:r w:rsidR="00897D7B" w:rsidRPr="00A64718">
        <w:rPr>
          <w:b/>
          <w:bCs/>
        </w:rPr>
        <w:t xml:space="preserve">van een Europese richtlijn die gevolgen heeft voor personen met een handicap, </w:t>
      </w:r>
      <w:r w:rsidRPr="00A64718">
        <w:rPr>
          <w:b/>
          <w:bCs/>
        </w:rPr>
        <w:t>een echt overleg wordt georganiseerd met de vertegenwoordigende structuren van personen met een handicap.</w:t>
      </w:r>
    </w:p>
    <w:p w14:paraId="3995C099" w14:textId="77777777" w:rsidR="00897D7B" w:rsidRDefault="00897D7B" w:rsidP="008B1438">
      <w:pPr>
        <w:spacing w:after="120"/>
      </w:pPr>
    </w:p>
    <w:p w14:paraId="6DF65CE7" w14:textId="229AEB8B" w:rsidR="00897D7B" w:rsidRPr="00A64718" w:rsidRDefault="009F45EF" w:rsidP="008B1438">
      <w:pPr>
        <w:spacing w:after="120"/>
        <w:rPr>
          <w:b/>
          <w:bCs/>
        </w:rPr>
      </w:pPr>
      <w:r>
        <w:t xml:space="preserve">Constateert </w:t>
      </w:r>
      <w:r w:rsidR="0098337F">
        <w:t xml:space="preserve">dat </w:t>
      </w:r>
      <w:r>
        <w:t xml:space="preserve">de federale, gewestelijke en gemeenschapsdiensten </w:t>
      </w:r>
      <w:r w:rsidR="00897D7B">
        <w:t xml:space="preserve">de eindgebruikers (personen met een handicap) </w:t>
      </w:r>
      <w:r w:rsidR="0098337F">
        <w:t xml:space="preserve">onvoldoende </w:t>
      </w:r>
      <w:r>
        <w:t>informeren over de tenuitvoerlegging van de EAA</w:t>
      </w:r>
      <w:r w:rsidR="00C027E8">
        <w:t xml:space="preserve">. Correcte informatie aan de eindgebruikers is noodzakelijk om de EAA-richtlijn daadwerkelijk effect te laten sorteren. </w:t>
      </w:r>
      <w:r w:rsidR="00897D7B">
        <w:lastRenderedPageBreak/>
        <w:t xml:space="preserve">Bovendien </w:t>
      </w:r>
      <w:r w:rsidR="00C027E8">
        <w:t>zullen de bevoegde autoriteiten zonder een correcte behandeling van klachten geen kennis hebben van tekortkomingen in de uitvoering en deze dus ook niet kunnen verhelpen.</w:t>
      </w:r>
      <w:r>
        <w:br/>
      </w:r>
      <w:r w:rsidRPr="00A64718">
        <w:rPr>
          <w:b/>
          <w:bCs/>
        </w:rPr>
        <w:sym w:font="Wingdings" w:char="F0E8"/>
      </w:r>
      <w:r w:rsidRPr="00A64718">
        <w:rPr>
          <w:b/>
          <w:bCs/>
        </w:rPr>
        <w:t xml:space="preserve"> vraagt dat er in 2026 voorlichting aan het grote publiek wordt gegeven over de EAA, over de gevolgen ervan voor personen met een handicap en </w:t>
      </w:r>
      <w:r w:rsidR="00443FC2" w:rsidRPr="00A64718">
        <w:rPr>
          <w:b/>
          <w:bCs/>
        </w:rPr>
        <w:t>over de verplichtingen die daaruit voortvloeien voor de betrokken dienstverleners</w:t>
      </w:r>
      <w:r w:rsidRPr="00A64718">
        <w:rPr>
          <w:b/>
          <w:bCs/>
        </w:rPr>
        <w:br/>
      </w:r>
      <w:r w:rsidRPr="00A64718">
        <w:rPr>
          <w:b/>
          <w:bCs/>
        </w:rPr>
        <w:sym w:font="Wingdings" w:char="F0E8"/>
      </w:r>
      <w:r w:rsidRPr="00A64718">
        <w:rPr>
          <w:b/>
          <w:bCs/>
        </w:rPr>
        <w:t xml:space="preserve"> vraagt </w:t>
      </w:r>
      <w:r w:rsidR="00065BA3" w:rsidRPr="00A64718">
        <w:rPr>
          <w:b/>
          <w:bCs/>
        </w:rPr>
        <w:t>om de oprichting van één enkel onlineplatform (volgens het principe van "één loket") voor het melden van tekortkomingen bij de uitvoering van de richtlijn door leveranciers van goederen en diensten. Dit platform zal de klachten doorverwijzen naar de bevoegde controle-instanties.</w:t>
      </w:r>
      <w:r w:rsidR="00897D7B" w:rsidRPr="00A64718">
        <w:rPr>
          <w:b/>
          <w:bCs/>
        </w:rPr>
        <w:br/>
      </w:r>
      <w:r w:rsidR="00897D7B" w:rsidRPr="00A64718">
        <w:rPr>
          <w:b/>
          <w:bCs/>
        </w:rPr>
        <w:sym w:font="Wingdings" w:char="F0E8"/>
      </w:r>
      <w:r w:rsidR="00897D7B" w:rsidRPr="00A64718">
        <w:rPr>
          <w:b/>
          <w:bCs/>
        </w:rPr>
        <w:t xml:space="preserve"> vraagt dat de procedure voor het registreren van klachten kwalitatief hoogstaand en zichtbaar is. Dit houdt in: </w:t>
      </w:r>
    </w:p>
    <w:p w14:paraId="7D330B23" w14:textId="5CB42EA3" w:rsidR="00897D7B" w:rsidRPr="00354A23" w:rsidRDefault="00897D7B" w:rsidP="00354A23">
      <w:pPr>
        <w:pStyle w:val="Paragraphedeliste"/>
        <w:numPr>
          <w:ilvl w:val="0"/>
          <w:numId w:val="17"/>
        </w:numPr>
        <w:spacing w:after="120"/>
        <w:rPr>
          <w:b/>
          <w:bCs/>
        </w:rPr>
      </w:pPr>
      <w:r w:rsidRPr="00A64718">
        <w:rPr>
          <w:b/>
          <w:bCs/>
        </w:rPr>
        <w:t xml:space="preserve">duidelijke instructies te publiceren in de drie nationale talen, inclusief in gemakkelijk te lezen en te begrijpen taal </w:t>
      </w:r>
      <w:r w:rsidR="00572728" w:rsidRPr="00A64718">
        <w:rPr>
          <w:b/>
          <w:bCs/>
        </w:rPr>
        <w:t xml:space="preserve">(FALC) </w:t>
      </w:r>
      <w:r w:rsidRPr="00A64718">
        <w:rPr>
          <w:b/>
          <w:bCs/>
        </w:rPr>
        <w:t xml:space="preserve">en </w:t>
      </w:r>
      <w:r w:rsidR="00572728" w:rsidRPr="00A64718">
        <w:rPr>
          <w:b/>
          <w:bCs/>
        </w:rPr>
        <w:t>in de drie nationale</w:t>
      </w:r>
      <w:r w:rsidRPr="00A64718">
        <w:rPr>
          <w:b/>
          <w:bCs/>
        </w:rPr>
        <w:t xml:space="preserve"> gebarentalen</w:t>
      </w:r>
      <w:r w:rsidR="00354A23">
        <w:rPr>
          <w:b/>
          <w:bCs/>
        </w:rPr>
        <w:t xml:space="preserve">. </w:t>
      </w:r>
      <w:r w:rsidRPr="00354A23">
        <w:rPr>
          <w:b/>
          <w:bCs/>
        </w:rPr>
        <w:t xml:space="preserve">In deze instructies moet worden vermeld waar en hoe </w:t>
      </w:r>
      <w:r w:rsidR="00572728" w:rsidRPr="00354A23">
        <w:rPr>
          <w:b/>
          <w:bCs/>
        </w:rPr>
        <w:t xml:space="preserve">een klacht </w:t>
      </w:r>
      <w:r w:rsidRPr="00354A23">
        <w:rPr>
          <w:b/>
          <w:bCs/>
        </w:rPr>
        <w:t>kan worden ingediend</w:t>
      </w:r>
      <w:r w:rsidR="00572728" w:rsidRPr="00354A23">
        <w:rPr>
          <w:b/>
          <w:bCs/>
        </w:rPr>
        <w:t>, welke informatie en eventuele bijlagen moeten worden bijgevoegd en welke follow-up er aan de klacht zal worden gegeven</w:t>
      </w:r>
    </w:p>
    <w:p w14:paraId="6C725035" w14:textId="570B2F29" w:rsidR="00572728" w:rsidRPr="00A64718" w:rsidRDefault="00572728" w:rsidP="00897D7B">
      <w:pPr>
        <w:pStyle w:val="Paragraphedeliste"/>
        <w:numPr>
          <w:ilvl w:val="0"/>
          <w:numId w:val="17"/>
        </w:numPr>
        <w:spacing w:after="120"/>
        <w:rPr>
          <w:b/>
          <w:bCs/>
        </w:rPr>
      </w:pPr>
      <w:r w:rsidRPr="00A64718">
        <w:rPr>
          <w:b/>
          <w:bCs/>
        </w:rPr>
        <w:t xml:space="preserve">het recht om een klacht in te dienen actief te promoten via voorlichtingscampagnes die worden georganiseerd door overheidsdiensten of door organisaties die personen met een handicap vertegenwoordigen en door aanbieders van toegankelijkheid, met behulp van ad-hocfinanciering </w:t>
      </w:r>
    </w:p>
    <w:p w14:paraId="34029F16" w14:textId="77777777" w:rsidR="00897D7B" w:rsidRDefault="00897D7B" w:rsidP="008B1438">
      <w:pPr>
        <w:spacing w:after="120"/>
      </w:pPr>
    </w:p>
    <w:p w14:paraId="3733D4AE" w14:textId="3A8D2B2E" w:rsidR="00E05A06" w:rsidRPr="00A64718" w:rsidRDefault="00065BA3" w:rsidP="00897D7B">
      <w:pPr>
        <w:rPr>
          <w:b/>
          <w:bCs/>
        </w:rPr>
      </w:pPr>
      <w:r>
        <w:t xml:space="preserve">Constateert dat de </w:t>
      </w:r>
      <w:r w:rsidR="00E05A06">
        <w:t xml:space="preserve">verschillende diensten die belast zijn met het toezicht op bepaalde aspecten van de uitvoering van de EAA hun toezichthoudende taak op verschillende wijze vervullen. Sommige bieden geen mogelijkheid om een klacht in te dienen. Bovendien voldoen de betreffende pagina's op deze verschillende websites niet aan de </w:t>
      </w:r>
      <w:r w:rsidR="00F94D20">
        <w:t>EAA-richtlijn of de richtlijn inzake webtoegankelijkheid.</w:t>
      </w:r>
      <w:r>
        <w:br/>
      </w:r>
      <w:r w:rsidR="00E05A06" w:rsidRPr="00A64718">
        <w:rPr>
          <w:b/>
          <w:bCs/>
        </w:rPr>
        <w:sym w:font="Wingdings" w:char="F0E8"/>
      </w:r>
      <w:r w:rsidR="00E05A06" w:rsidRPr="00A64718">
        <w:rPr>
          <w:b/>
          <w:bCs/>
        </w:rPr>
        <w:t>verzoekt om de oprichting van één enkel portaal voor gebruikers. Dit portaal moet in duidelijke en gemakkelijk te lezen en te begrijpen taal alle nuttige informatie over de reikwijdte van de EAA-richtlijn bevatten</w:t>
      </w:r>
      <w:r w:rsidR="00326532" w:rsidRPr="00A64718">
        <w:rPr>
          <w:b/>
          <w:bCs/>
        </w:rPr>
        <w:t>,</w:t>
      </w:r>
      <w:r w:rsidR="00E05A06" w:rsidRPr="00A64718">
        <w:rPr>
          <w:b/>
          <w:bCs/>
        </w:rPr>
        <w:t xml:space="preserve"> </w:t>
      </w:r>
      <w:r w:rsidR="00354A23">
        <w:rPr>
          <w:b/>
          <w:bCs/>
        </w:rPr>
        <w:t>evenals</w:t>
      </w:r>
      <w:r w:rsidR="00E05A06" w:rsidRPr="00A64718">
        <w:rPr>
          <w:b/>
          <w:bCs/>
        </w:rPr>
        <w:t xml:space="preserve"> een klachtenformulier </w:t>
      </w:r>
      <w:r w:rsidR="00326532" w:rsidRPr="00A64718">
        <w:rPr>
          <w:b/>
          <w:bCs/>
        </w:rPr>
        <w:t xml:space="preserve">in het Frans, Nederlands en Duits </w:t>
      </w:r>
      <w:r w:rsidR="00354A23">
        <w:rPr>
          <w:b/>
          <w:bCs/>
        </w:rPr>
        <w:t>en in de overeenkomstige gebarentalen</w:t>
      </w:r>
      <w:r w:rsidR="00326532" w:rsidRPr="00A64718">
        <w:rPr>
          <w:b/>
          <w:bCs/>
        </w:rPr>
        <w:t>.</w:t>
      </w:r>
    </w:p>
    <w:p w14:paraId="720A7377" w14:textId="54B8236C" w:rsidR="00E05A06" w:rsidRPr="00A64718" w:rsidRDefault="00065BA3" w:rsidP="00897D7B">
      <w:pPr>
        <w:rPr>
          <w:b/>
          <w:bCs/>
        </w:rPr>
      </w:pPr>
      <w:r w:rsidRPr="00A64718">
        <w:rPr>
          <w:b/>
          <w:bCs/>
        </w:rPr>
        <w:sym w:font="Wingdings" w:char="F0E8"/>
      </w:r>
      <w:r w:rsidRPr="00A64718">
        <w:rPr>
          <w:b/>
          <w:bCs/>
        </w:rPr>
        <w:t xml:space="preserve"> vraagt dat de betrokken overheidsdiensten hun websites in overeenstemming brengen met de EAA</w:t>
      </w:r>
      <w:r w:rsidR="00E05A06" w:rsidRPr="00A64718">
        <w:rPr>
          <w:b/>
          <w:bCs/>
        </w:rPr>
        <w:t>-richtlijn</w:t>
      </w:r>
      <w:r w:rsidRPr="00A64718">
        <w:rPr>
          <w:b/>
          <w:bCs/>
        </w:rPr>
        <w:t xml:space="preserve">. </w:t>
      </w:r>
    </w:p>
    <w:p w14:paraId="1AB50358" w14:textId="1167422E" w:rsidR="00D274AC" w:rsidRPr="00A64718" w:rsidRDefault="00E05A06" w:rsidP="00742258">
      <w:pPr>
        <w:rPr>
          <w:b/>
          <w:bCs/>
        </w:rPr>
      </w:pPr>
      <w:r w:rsidRPr="00A64718">
        <w:rPr>
          <w:b/>
          <w:bCs/>
        </w:rPr>
        <w:sym w:font="Wingdings" w:char="F0E8"/>
      </w:r>
      <w:r w:rsidRPr="00A64718">
        <w:rPr>
          <w:b/>
          <w:bCs/>
        </w:rPr>
        <w:t xml:space="preserve"> verzoekt de betrokken overheidsdiensten hun websites en, </w:t>
      </w:r>
      <w:r w:rsidR="00D274AC" w:rsidRPr="00354A23">
        <w:rPr>
          <w:b/>
          <w:bCs/>
        </w:rPr>
        <w:t xml:space="preserve">bij voorrang, </w:t>
      </w:r>
      <w:r w:rsidRPr="00A64718">
        <w:rPr>
          <w:b/>
          <w:bCs/>
        </w:rPr>
        <w:t xml:space="preserve">de pagina's die gewijd zijn aan de uitvoering en aan de controle van de EAA-richtlijn in overeenstemming </w:t>
      </w:r>
      <w:r w:rsidR="0098337F" w:rsidRPr="00354A23">
        <w:rPr>
          <w:b/>
          <w:bCs/>
        </w:rPr>
        <w:t>te</w:t>
      </w:r>
      <w:r w:rsidR="0098337F" w:rsidRPr="00A64718">
        <w:rPr>
          <w:b/>
          <w:bCs/>
        </w:rPr>
        <w:t xml:space="preserve"> brengen met de </w:t>
      </w:r>
      <w:hyperlink r:id="rId40" w:tgtFrame="_blank" w:history="1">
        <w:r w:rsidR="0098337F" w:rsidRPr="0098337F">
          <w:rPr>
            <w:rStyle w:val="Lienhypertexte"/>
          </w:rPr>
          <w:t>wet van 19 juli 2018 betreffende de toegankelijkheid van websites en mobiele applicaties van overheidsinstanties,</w:t>
        </w:r>
      </w:hyperlink>
      <w:r w:rsidR="0098337F" w:rsidRPr="00354A23">
        <w:rPr>
          <w:b/>
          <w:bCs/>
        </w:rPr>
        <w:t xml:space="preserve"> die tot doel heeft </w:t>
      </w:r>
      <w:r w:rsidR="0098337F" w:rsidRPr="0098337F">
        <w:t xml:space="preserve">de </w:t>
      </w:r>
      <w:hyperlink r:id="rId41" w:tgtFrame="_blank" w:history="1">
        <w:r w:rsidR="0098337F" w:rsidRPr="0098337F">
          <w:rPr>
            <w:rStyle w:val="Lienhypertexte"/>
          </w:rPr>
          <w:t>Europese richtlijn (EU) 2016/2102 betreffende de toegankelijkheid van websites en mobiele applicaties van overheidsinstanties</w:t>
        </w:r>
      </w:hyperlink>
      <w:r w:rsidR="0098337F" w:rsidRPr="00354A23">
        <w:rPr>
          <w:b/>
          <w:bCs/>
        </w:rPr>
        <w:t xml:space="preserve"> om te zetten</w:t>
      </w:r>
      <w:hyperlink r:id="rId42" w:tgtFrame="_blank" w:history="1">
        <w:r w:rsidR="0098337F" w:rsidRPr="0098337F">
          <w:rPr>
            <w:rStyle w:val="Lienhypertexte"/>
          </w:rPr>
          <w:t>.</w:t>
        </w:r>
      </w:hyperlink>
      <w:r w:rsidR="00F94D20">
        <w:br/>
      </w:r>
      <w:r w:rsidR="00F94D20" w:rsidRPr="00A64718">
        <w:rPr>
          <w:b/>
          <w:bCs/>
        </w:rPr>
        <w:sym w:font="Wingdings" w:char="F0E8"/>
      </w:r>
      <w:bookmarkStart w:id="6" w:name="_Hlk208220711"/>
      <w:bookmarkEnd w:id="6"/>
      <w:r w:rsidR="00F94D20" w:rsidRPr="00A64718">
        <w:rPr>
          <w:b/>
          <w:bCs/>
        </w:rPr>
        <w:t xml:space="preserve">v erzoekt de bevoegde overheidsdiensten proactieve controles uit te voeren </w:t>
      </w:r>
      <w:r w:rsidR="00F94D20" w:rsidRPr="00354A23">
        <w:rPr>
          <w:b/>
          <w:bCs/>
        </w:rPr>
        <w:t xml:space="preserve">om </w:t>
      </w:r>
      <w:r w:rsidR="00D274AC" w:rsidRPr="00354A23">
        <w:rPr>
          <w:b/>
          <w:bCs/>
        </w:rPr>
        <w:t xml:space="preserve">ervoor te zorgen dat de toegankelijkheid effectief is en </w:t>
      </w:r>
      <w:r w:rsidR="00D274AC" w:rsidRPr="00A64718">
        <w:rPr>
          <w:b/>
          <w:bCs/>
        </w:rPr>
        <w:t xml:space="preserve">ervoor te zorgen dat de last van het toezicht </w:t>
      </w:r>
      <w:r w:rsidR="00F94D20" w:rsidRPr="00A64718">
        <w:rPr>
          <w:b/>
          <w:bCs/>
        </w:rPr>
        <w:t>op de naleving van de regels van de EAA-richtlijn niet op de burgers en hun vertegenwoordigende organisaties rust</w:t>
      </w:r>
      <w:r w:rsidR="00F94D20" w:rsidRPr="00A64718">
        <w:rPr>
          <w:b/>
          <w:bCs/>
        </w:rPr>
        <w:br/>
      </w:r>
      <w:r w:rsidR="00F94D20" w:rsidRPr="00A64718">
        <w:rPr>
          <w:b/>
          <w:bCs/>
        </w:rPr>
        <w:lastRenderedPageBreak/>
        <w:sym w:font="Wingdings" w:char="F0E8"/>
      </w:r>
      <w:r w:rsidR="00F94D20" w:rsidRPr="00A64718">
        <w:rPr>
          <w:b/>
          <w:bCs/>
        </w:rPr>
        <w:t xml:space="preserve"> verzoekt om de procedures voor de behandeling van klachten te </w:t>
      </w:r>
      <w:r w:rsidR="00D274AC" w:rsidRPr="00A64718">
        <w:rPr>
          <w:b/>
          <w:bCs/>
        </w:rPr>
        <w:t xml:space="preserve">verduidelijken </w:t>
      </w:r>
      <w:r w:rsidR="00F94D20" w:rsidRPr="00A64718">
        <w:rPr>
          <w:b/>
          <w:bCs/>
        </w:rPr>
        <w:t xml:space="preserve">en </w:t>
      </w:r>
      <w:r w:rsidR="00D274AC" w:rsidRPr="00A64718">
        <w:rPr>
          <w:b/>
          <w:bCs/>
        </w:rPr>
        <w:t xml:space="preserve">transparant te maken </w:t>
      </w:r>
      <w:r w:rsidR="00F94D20" w:rsidRPr="00A64718">
        <w:rPr>
          <w:b/>
          <w:bCs/>
        </w:rPr>
        <w:t>voor eindgebruikers en hun vertegenwoordigende organisaties</w:t>
      </w:r>
      <w:r w:rsidR="00F94D20" w:rsidRPr="00A64718">
        <w:rPr>
          <w:b/>
          <w:bCs/>
        </w:rPr>
        <w:br/>
      </w:r>
      <w:bookmarkStart w:id="7" w:name="_Hlk208220771"/>
      <w:r w:rsidR="00D274AC" w:rsidRPr="0097794A">
        <w:rPr>
          <w:b/>
          <w:bCs/>
        </w:rPr>
        <w:sym w:font="Wingdings" w:char="F0E8"/>
      </w:r>
      <w:r w:rsidR="00D274AC" w:rsidRPr="0097794A">
        <w:rPr>
          <w:b/>
          <w:bCs/>
        </w:rPr>
        <w:t xml:space="preserve"> verzoekt om een jaarlijkse evaluatie van de klachten openbaar te maken, met vermelding van het aantal uitgevoerde controles, het aantal ingediende klachten, het aantal opgelegde sancties en de follow-up van de geconstateerde overtredingen</w:t>
      </w:r>
    </w:p>
    <w:bookmarkEnd w:id="7"/>
    <w:p w14:paraId="76C6C535" w14:textId="52296FDB" w:rsidR="00F94D20" w:rsidRPr="00A64718" w:rsidRDefault="00F94D20" w:rsidP="008B1438">
      <w:pPr>
        <w:spacing w:after="120"/>
        <w:rPr>
          <w:b/>
          <w:bCs/>
        </w:rPr>
      </w:pPr>
      <w:r w:rsidRPr="00A64718">
        <w:rPr>
          <w:b/>
          <w:bCs/>
        </w:rPr>
        <w:sym w:font="Wingdings" w:char="F0E8"/>
      </w:r>
      <w:r w:rsidRPr="00A64718">
        <w:rPr>
          <w:b/>
          <w:bCs/>
        </w:rPr>
        <w:t xml:space="preserve"> verzoekt </w:t>
      </w:r>
      <w:r w:rsidR="00443FC2" w:rsidRPr="00A64718">
        <w:rPr>
          <w:b/>
          <w:bCs/>
        </w:rPr>
        <w:t>dat de nodige sancties in geval van niet-naleving worden opgelegd en openbaar worden gemaakt om de volledige inclusie van personen met een handicap te waarborgen</w:t>
      </w:r>
    </w:p>
    <w:p w14:paraId="08A79362" w14:textId="77777777" w:rsidR="0097794A" w:rsidRDefault="0097794A" w:rsidP="008B1438">
      <w:pPr>
        <w:spacing w:after="120"/>
      </w:pPr>
    </w:p>
    <w:p w14:paraId="208B49A8" w14:textId="7C565DF9" w:rsidR="0097794A" w:rsidRDefault="0097794A" w:rsidP="008B1438">
      <w:pPr>
        <w:spacing w:after="120"/>
      </w:pPr>
      <w:r>
        <w:t>Eventueel:</w:t>
      </w:r>
    </w:p>
    <w:p w14:paraId="17E71DAC" w14:textId="0901AE60" w:rsidR="00CD4809" w:rsidRPr="00E85772" w:rsidRDefault="00CD4809" w:rsidP="008B1438">
      <w:pPr>
        <w:spacing w:after="120"/>
      </w:pPr>
      <w:r w:rsidRPr="00E85772">
        <w:t xml:space="preserve">Constateert dat sinds de goedkeuring van de EAA-richtlijn het gebruik van kunstmatige intelligentie </w:t>
      </w:r>
      <w:r w:rsidR="004A2AA6">
        <w:t xml:space="preserve">(AI) </w:t>
      </w:r>
      <w:r w:rsidRPr="00E85772">
        <w:t xml:space="preserve">een grote vlucht heeft genomen in het leven van </w:t>
      </w:r>
      <w:r w:rsidR="0098337F" w:rsidRPr="00E85772">
        <w:t xml:space="preserve">alle </w:t>
      </w:r>
      <w:r w:rsidRPr="00E85772">
        <w:t xml:space="preserve">burgers. </w:t>
      </w:r>
      <w:r w:rsidR="0098337F" w:rsidRPr="00E85772">
        <w:t xml:space="preserve">Is de EAA-richtlijn in overeenstemming met de verwachtingen van </w:t>
      </w:r>
      <w:hyperlink r:id="rId43" w:tgtFrame="_blank" w:tooltip="Règlement (UE) 2024/1689 du Parlement européen et du Conseil du 13 juin 2024 établissant des règles harmonisées concernant l'intelligence artificielle - Eur-Lex - Nouvelle fenêtre" w:history="1">
        <w:r w:rsidR="0098337F" w:rsidRPr="00E85772">
          <w:rPr>
            <w:rStyle w:val="Lienhypertexte"/>
          </w:rPr>
          <w:t>Verordening (EU) 2024/1689 van het Europees Parlement en de Raad van 13 juni 2024 tot vaststelling van geharmoniseerde regels inzake kunstmatige intelligentie</w:t>
        </w:r>
      </w:hyperlink>
      <w:r w:rsidR="0098337F" w:rsidRPr="00E85772">
        <w:t xml:space="preserve"> (AI Act), gepubliceerd in </w:t>
      </w:r>
      <w:r w:rsidR="0098337F" w:rsidRPr="00E85772">
        <w:rPr>
          <w:i/>
          <w:iCs/>
        </w:rPr>
        <w:t xml:space="preserve">het Publicatieblad van de Europese Unie </w:t>
      </w:r>
      <w:r w:rsidR="0098337F" w:rsidRPr="00E85772">
        <w:t>van 12 juli 2024 en waarvan de toepasselijkheid loopt van 2 februari 2025 tot 2 augustus 2027</w:t>
      </w:r>
      <w:r w:rsidR="008B1438" w:rsidRPr="00E85772">
        <w:t xml:space="preserve">? </w:t>
      </w:r>
      <w:r w:rsidR="008B1438" w:rsidRPr="00E85772">
        <w:br/>
      </w:r>
      <w:r w:rsidR="008B1438" w:rsidRPr="0097794A">
        <w:rPr>
          <w:b/>
          <w:bCs/>
        </w:rPr>
        <w:sym w:font="Wingdings" w:char="F0E8"/>
      </w:r>
      <w:r w:rsidR="008B1438" w:rsidRPr="0097794A">
        <w:rPr>
          <w:b/>
          <w:bCs/>
        </w:rPr>
        <w:t xml:space="preserve"> vraagt om een evaluatie </w:t>
      </w:r>
      <w:r w:rsidR="009F45EF" w:rsidRPr="0097794A">
        <w:rPr>
          <w:b/>
          <w:bCs/>
        </w:rPr>
        <w:t xml:space="preserve">van de verwachte impact van het gebruik van AI </w:t>
      </w:r>
      <w:r w:rsidR="00065BA3" w:rsidRPr="0097794A">
        <w:rPr>
          <w:b/>
          <w:bCs/>
        </w:rPr>
        <w:t xml:space="preserve">bij de uitvoering van de EAA </w:t>
      </w:r>
      <w:r w:rsidR="008B1438" w:rsidRPr="0097794A">
        <w:rPr>
          <w:b/>
          <w:bCs/>
        </w:rPr>
        <w:t xml:space="preserve">en, op basis van de verkregen resultaten, de </w:t>
      </w:r>
      <w:r w:rsidR="0098337F" w:rsidRPr="0097794A">
        <w:rPr>
          <w:b/>
          <w:bCs/>
        </w:rPr>
        <w:t>Europese</w:t>
      </w:r>
      <w:r w:rsidR="008B1438" w:rsidRPr="0097794A">
        <w:rPr>
          <w:b/>
          <w:bCs/>
        </w:rPr>
        <w:t xml:space="preserve"> Commissie te vragen naar de </w:t>
      </w:r>
      <w:r w:rsidR="0098337F" w:rsidRPr="0097794A">
        <w:rPr>
          <w:b/>
          <w:bCs/>
        </w:rPr>
        <w:t xml:space="preserve">eventueel </w:t>
      </w:r>
      <w:r w:rsidR="008B1438" w:rsidRPr="0097794A">
        <w:rPr>
          <w:b/>
          <w:bCs/>
        </w:rPr>
        <w:t>noodzakelijke corrigerende maatregelen.</w:t>
      </w:r>
    </w:p>
    <w:p w14:paraId="33DCBDCD" w14:textId="77777777" w:rsidR="0097794A" w:rsidRDefault="0097794A" w:rsidP="0097794A">
      <w:pPr>
        <w:spacing w:after="120"/>
        <w:rPr>
          <w:highlight w:val="yellow"/>
        </w:rPr>
      </w:pPr>
      <w:bookmarkStart w:id="8" w:name="_Hlk208220822"/>
      <w:bookmarkEnd w:id="1"/>
    </w:p>
    <w:p w14:paraId="24837CF6" w14:textId="02776C94" w:rsidR="0097794A" w:rsidRPr="00CB4551" w:rsidRDefault="0097794A" w:rsidP="0097794A">
      <w:pPr>
        <w:spacing w:after="120"/>
        <w:rPr>
          <w:i/>
          <w:iCs/>
        </w:rPr>
      </w:pPr>
      <w:r w:rsidRPr="00CB4551">
        <w:rPr>
          <w:i/>
          <w:iCs/>
        </w:rPr>
        <w:t>Opmerking van CAWaB:</w:t>
      </w:r>
    </w:p>
    <w:p w14:paraId="3A6ED296" w14:textId="67914513" w:rsidR="0097794A" w:rsidRPr="00CB4551" w:rsidRDefault="0097794A" w:rsidP="0097794A">
      <w:pPr>
        <w:spacing w:after="120"/>
        <w:rPr>
          <w:i/>
          <w:iCs/>
        </w:rPr>
      </w:pPr>
      <w:r w:rsidRPr="00CB4551">
        <w:rPr>
          <w:i/>
          <w:iCs/>
        </w:rPr>
        <w:t xml:space="preserve">In het algemeen is het voor CAWaB een prioriteit om te zorgen voor een volledige toepassing van de richtlijn, effectieve en toereikende controles en sancties in geval van niet-naleving, alvorens na te denken over een </w:t>
      </w:r>
      <w:proofErr w:type="spellStart"/>
      <w:r w:rsidRPr="00CB4551">
        <w:rPr>
          <w:i/>
          <w:iCs/>
        </w:rPr>
        <w:t>uitbreiding</w:t>
      </w:r>
      <w:proofErr w:type="spellEnd"/>
      <w:r w:rsidRPr="00CB4551">
        <w:rPr>
          <w:i/>
          <w:iCs/>
        </w:rPr>
        <w:t xml:space="preserve"> van het </w:t>
      </w:r>
      <w:proofErr w:type="spellStart"/>
      <w:r w:rsidRPr="00CB4551">
        <w:rPr>
          <w:i/>
          <w:iCs/>
        </w:rPr>
        <w:t>toepassingsgebied</w:t>
      </w:r>
      <w:proofErr w:type="spellEnd"/>
      <w:r w:rsidRPr="00CB4551">
        <w:rPr>
          <w:i/>
          <w:iCs/>
        </w:rPr>
        <w:t xml:space="preserve"> </w:t>
      </w:r>
      <w:proofErr w:type="spellStart"/>
      <w:r w:rsidRPr="00CB4551">
        <w:rPr>
          <w:i/>
          <w:iCs/>
        </w:rPr>
        <w:t>ervan</w:t>
      </w:r>
      <w:proofErr w:type="spellEnd"/>
      <w:r w:rsidRPr="00CB4551">
        <w:rPr>
          <w:i/>
          <w:iCs/>
        </w:rPr>
        <w:t>...</w:t>
      </w:r>
      <w:r w:rsidR="00CB4551">
        <w:rPr>
          <w:i/>
          <w:iCs/>
        </w:rPr>
        <w:t xml:space="preserve"> </w:t>
      </w:r>
      <w:r w:rsidR="00CB4551" w:rsidRPr="00CB4551">
        <w:rPr>
          <w:b/>
          <w:bCs/>
          <w:i/>
          <w:iCs/>
        </w:rPr>
        <w:sym w:font="Wingdings" w:char="F0E0"/>
      </w:r>
      <w:r w:rsidR="00CB4551" w:rsidRPr="00CB4551">
        <w:rPr>
          <w:b/>
          <w:bCs/>
          <w:i/>
          <w:iCs/>
        </w:rPr>
        <w:t xml:space="preserve"> </w:t>
      </w:r>
      <w:proofErr w:type="spellStart"/>
      <w:r w:rsidR="00CB4551" w:rsidRPr="00CB4551">
        <w:rPr>
          <w:b/>
          <w:bCs/>
          <w:i/>
          <w:iCs/>
        </w:rPr>
        <w:t>waar</w:t>
      </w:r>
      <w:proofErr w:type="spellEnd"/>
      <w:r w:rsidR="00CB4551" w:rsidRPr="00CB4551">
        <w:rPr>
          <w:b/>
          <w:bCs/>
          <w:i/>
          <w:iCs/>
        </w:rPr>
        <w:t xml:space="preserve"> </w:t>
      </w:r>
      <w:proofErr w:type="spellStart"/>
      <w:r w:rsidR="00CB4551" w:rsidRPr="00CB4551">
        <w:rPr>
          <w:b/>
          <w:bCs/>
          <w:i/>
          <w:iCs/>
        </w:rPr>
        <w:t>moeten</w:t>
      </w:r>
      <w:proofErr w:type="spellEnd"/>
      <w:r w:rsidR="00CB4551" w:rsidRPr="00CB4551">
        <w:rPr>
          <w:b/>
          <w:bCs/>
          <w:i/>
          <w:iCs/>
        </w:rPr>
        <w:t xml:space="preserve"> </w:t>
      </w:r>
      <w:proofErr w:type="spellStart"/>
      <w:r w:rsidR="00CB4551" w:rsidRPr="00CB4551">
        <w:rPr>
          <w:b/>
          <w:bCs/>
          <w:i/>
          <w:iCs/>
        </w:rPr>
        <w:t>we</w:t>
      </w:r>
      <w:proofErr w:type="spellEnd"/>
      <w:r w:rsidR="00CB4551" w:rsidRPr="00CB4551">
        <w:rPr>
          <w:b/>
          <w:bCs/>
          <w:i/>
          <w:iCs/>
        </w:rPr>
        <w:t xml:space="preserve"> </w:t>
      </w:r>
      <w:proofErr w:type="spellStart"/>
      <w:r w:rsidR="00CB4551" w:rsidRPr="00CB4551">
        <w:rPr>
          <w:b/>
          <w:bCs/>
          <w:i/>
          <w:iCs/>
        </w:rPr>
        <w:t>deze</w:t>
      </w:r>
      <w:proofErr w:type="spellEnd"/>
      <w:r w:rsidR="00CB4551" w:rsidRPr="00CB4551">
        <w:rPr>
          <w:b/>
          <w:bCs/>
          <w:i/>
          <w:iCs/>
        </w:rPr>
        <w:t xml:space="preserve"> </w:t>
      </w:r>
      <w:proofErr w:type="spellStart"/>
      <w:r w:rsidR="00CB4551" w:rsidRPr="00CB4551">
        <w:rPr>
          <w:b/>
          <w:bCs/>
          <w:i/>
          <w:iCs/>
        </w:rPr>
        <w:t>melden</w:t>
      </w:r>
      <w:proofErr w:type="spellEnd"/>
      <w:r w:rsidR="00CB4551" w:rsidRPr="00CB4551">
        <w:rPr>
          <w:b/>
          <w:bCs/>
          <w:i/>
          <w:iCs/>
        </w:rPr>
        <w:t> ?</w:t>
      </w:r>
      <w:r w:rsidR="00CB4551">
        <w:rPr>
          <w:i/>
          <w:iCs/>
        </w:rPr>
        <w:t xml:space="preserve"> </w:t>
      </w:r>
    </w:p>
    <w:bookmarkEnd w:id="8"/>
    <w:p w14:paraId="2CE46648" w14:textId="77777777" w:rsidR="008B1438" w:rsidRDefault="008B1438" w:rsidP="008B1438">
      <w:pPr>
        <w:spacing w:after="120"/>
      </w:pPr>
    </w:p>
    <w:sectPr w:rsidR="008B14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gritte Olivier" w:date="2025-09-10T12:51:00Z" w:initials="OM">
    <w:p w14:paraId="48B8C24F" w14:textId="77777777" w:rsidR="007B79D5" w:rsidRDefault="007B79D5" w:rsidP="007B79D5">
      <w:pPr>
        <w:pStyle w:val="Commentaire"/>
      </w:pPr>
      <w:r>
        <w:rPr>
          <w:rStyle w:val="Marquedecommentaire"/>
        </w:rPr>
        <w:annotationRef/>
      </w:r>
      <w:r>
        <w:t>Controleren</w:t>
      </w:r>
    </w:p>
  </w:comment>
  <w:comment w:id="3" w:author="Magritte Olivier" w:date="2025-09-10T11:53:00Z" w:initials="OM">
    <w:p w14:paraId="1B277712" w14:textId="1C584F8E" w:rsidR="006F4AAB" w:rsidRDefault="006F4AAB" w:rsidP="006F4AAB">
      <w:pPr>
        <w:pStyle w:val="Commentaire"/>
      </w:pPr>
      <w:r>
        <w:rPr>
          <w:rStyle w:val="Marquedecommentaire"/>
        </w:rPr>
        <w:annotationRef/>
      </w:r>
      <w:r>
        <w:t>Te controleren. Bovendien was er nog geen adviesraad voor elke entiteit.</w:t>
      </w:r>
    </w:p>
  </w:comment>
  <w:comment w:id="4" w:author="Magritte Olivier" w:date="2025-09-01T17:49:00Z" w:initials="OM">
    <w:p w14:paraId="2B92EA0C" w14:textId="77777777" w:rsidR="0097794A" w:rsidRDefault="00E85772" w:rsidP="0097794A">
      <w:pPr>
        <w:pStyle w:val="Commentaire"/>
      </w:pPr>
      <w:r>
        <w:rPr>
          <w:rStyle w:val="Marquedecommentaire"/>
        </w:rPr>
        <w:annotationRef/>
      </w:r>
      <w:r w:rsidR="0097794A">
        <w:rPr>
          <w:lang w:val="nl-BE"/>
        </w:rPr>
        <w:t>Zijn ze toegankelijk voor personen met een handicap? Te controleren...</w:t>
      </w:r>
    </w:p>
  </w:comment>
  <w:comment w:id="5" w:author="Magritte Olivier" w:date="2025-09-10T12:11:00Z" w:initials="OM">
    <w:p w14:paraId="3E63EE08" w14:textId="7E12C408" w:rsidR="00A64718" w:rsidRDefault="00A64718" w:rsidP="00A64718">
      <w:pPr>
        <w:pStyle w:val="Commentaire"/>
      </w:pPr>
      <w:r>
        <w:rPr>
          <w:rStyle w:val="Marquedecommentaire"/>
        </w:rPr>
        <w:annotationRef/>
      </w:r>
      <w:r>
        <w:t>Controleren met FFSB en Doof Vlaanderen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8C24F" w15:done="0"/>
  <w15:commentEx w15:paraId="1B277712" w15:done="0"/>
  <w15:commentEx w15:paraId="2B92EA0C" w15:done="0"/>
  <w15:commentEx w15:paraId="3E63E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6C65DE" w16cex:dateUtc="2025-09-10T10:51:00Z"/>
  <w16cex:commentExtensible w16cex:durableId="6E68E2AF" w16cex:dateUtc="2025-09-10T09:53:00Z"/>
  <w16cex:commentExtensible w16cex:durableId="160EA2C6" w16cex:dateUtc="2025-09-01T15:49:00Z"/>
  <w16cex:commentExtensible w16cex:durableId="069336EC" w16cex:dateUtc="2025-09-10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8C24F" w16cid:durableId="686C65DE"/>
  <w16cid:commentId w16cid:paraId="1B277712" w16cid:durableId="6E68E2AF"/>
  <w16cid:commentId w16cid:paraId="2B92EA0C" w16cid:durableId="160EA2C6"/>
  <w16cid:commentId w16cid:paraId="3E63EE08" w16cid:durableId="069336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72"/>
    <w:multiLevelType w:val="multilevel"/>
    <w:tmpl w:val="A89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827AA2"/>
    <w:multiLevelType w:val="hybridMultilevel"/>
    <w:tmpl w:val="7A00E9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0598B"/>
    <w:multiLevelType w:val="hybridMultilevel"/>
    <w:tmpl w:val="F82C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13A"/>
    <w:multiLevelType w:val="multilevel"/>
    <w:tmpl w:val="12F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80A30"/>
    <w:multiLevelType w:val="hybridMultilevel"/>
    <w:tmpl w:val="173CCA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F372D"/>
    <w:multiLevelType w:val="hybridMultilevel"/>
    <w:tmpl w:val="068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E4708"/>
    <w:multiLevelType w:val="hybridMultilevel"/>
    <w:tmpl w:val="4C223D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F49C6"/>
    <w:multiLevelType w:val="hybridMultilevel"/>
    <w:tmpl w:val="FCE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1514E"/>
    <w:multiLevelType w:val="hybridMultilevel"/>
    <w:tmpl w:val="BABC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42EDC"/>
    <w:multiLevelType w:val="multilevel"/>
    <w:tmpl w:val="BC3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D12EE"/>
    <w:multiLevelType w:val="hybridMultilevel"/>
    <w:tmpl w:val="D736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33546"/>
    <w:multiLevelType w:val="hybridMultilevel"/>
    <w:tmpl w:val="D494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64B51"/>
    <w:multiLevelType w:val="hybridMultilevel"/>
    <w:tmpl w:val="32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13FE6"/>
    <w:multiLevelType w:val="hybridMultilevel"/>
    <w:tmpl w:val="31F27B86"/>
    <w:lvl w:ilvl="0" w:tplc="28607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419F0"/>
    <w:multiLevelType w:val="hybridMultilevel"/>
    <w:tmpl w:val="966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6251B"/>
    <w:multiLevelType w:val="hybridMultilevel"/>
    <w:tmpl w:val="D592E4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464D42"/>
    <w:multiLevelType w:val="hybridMultilevel"/>
    <w:tmpl w:val="636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87074">
    <w:abstractNumId w:val="1"/>
  </w:num>
  <w:num w:numId="2" w16cid:durableId="561411307">
    <w:abstractNumId w:val="7"/>
  </w:num>
  <w:num w:numId="3" w16cid:durableId="1845242815">
    <w:abstractNumId w:val="13"/>
  </w:num>
  <w:num w:numId="4" w16cid:durableId="766123414">
    <w:abstractNumId w:val="8"/>
  </w:num>
  <w:num w:numId="5" w16cid:durableId="1359359021">
    <w:abstractNumId w:val="16"/>
  </w:num>
  <w:num w:numId="6" w16cid:durableId="2116905085">
    <w:abstractNumId w:val="10"/>
  </w:num>
  <w:num w:numId="7" w16cid:durableId="1991328675">
    <w:abstractNumId w:val="2"/>
  </w:num>
  <w:num w:numId="8" w16cid:durableId="22899621">
    <w:abstractNumId w:val="14"/>
  </w:num>
  <w:num w:numId="9" w16cid:durableId="688263954">
    <w:abstractNumId w:val="12"/>
  </w:num>
  <w:num w:numId="10" w16cid:durableId="1992052972">
    <w:abstractNumId w:val="4"/>
  </w:num>
  <w:num w:numId="11" w16cid:durableId="167060687">
    <w:abstractNumId w:val="11"/>
  </w:num>
  <w:num w:numId="12" w16cid:durableId="1484814434">
    <w:abstractNumId w:val="3"/>
  </w:num>
  <w:num w:numId="13" w16cid:durableId="272980591">
    <w:abstractNumId w:val="5"/>
  </w:num>
  <w:num w:numId="14" w16cid:durableId="1170146226">
    <w:abstractNumId w:val="17"/>
  </w:num>
  <w:num w:numId="15" w16cid:durableId="943418871">
    <w:abstractNumId w:val="15"/>
  </w:num>
  <w:num w:numId="16" w16cid:durableId="902326269">
    <w:abstractNumId w:val="6"/>
  </w:num>
  <w:num w:numId="17" w16cid:durableId="842008185">
    <w:abstractNumId w:val="18"/>
  </w:num>
  <w:num w:numId="18" w16cid:durableId="459767634">
    <w:abstractNumId w:val="0"/>
  </w:num>
  <w:num w:numId="19" w16cid:durableId="14964564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4"/>
    <w:rsid w:val="000251F5"/>
    <w:rsid w:val="00065BA3"/>
    <w:rsid w:val="000710CF"/>
    <w:rsid w:val="000E13A3"/>
    <w:rsid w:val="000E3090"/>
    <w:rsid w:val="000F3939"/>
    <w:rsid w:val="00101AD5"/>
    <w:rsid w:val="00121564"/>
    <w:rsid w:val="001236C1"/>
    <w:rsid w:val="00160366"/>
    <w:rsid w:val="00176782"/>
    <w:rsid w:val="00183523"/>
    <w:rsid w:val="001B0EBD"/>
    <w:rsid w:val="001D15AB"/>
    <w:rsid w:val="001D5FC6"/>
    <w:rsid w:val="0020108F"/>
    <w:rsid w:val="002511AE"/>
    <w:rsid w:val="00253AFF"/>
    <w:rsid w:val="002A0EA1"/>
    <w:rsid w:val="002D76F6"/>
    <w:rsid w:val="00326532"/>
    <w:rsid w:val="00354A23"/>
    <w:rsid w:val="003C4F64"/>
    <w:rsid w:val="003D1697"/>
    <w:rsid w:val="003D473C"/>
    <w:rsid w:val="003E42F8"/>
    <w:rsid w:val="003F2D4F"/>
    <w:rsid w:val="00410F92"/>
    <w:rsid w:val="0041702E"/>
    <w:rsid w:val="00443FC2"/>
    <w:rsid w:val="004A2AA6"/>
    <w:rsid w:val="004F0B3A"/>
    <w:rsid w:val="00510D92"/>
    <w:rsid w:val="00526219"/>
    <w:rsid w:val="00572728"/>
    <w:rsid w:val="0061176D"/>
    <w:rsid w:val="00664554"/>
    <w:rsid w:val="006A4276"/>
    <w:rsid w:val="006F4AAB"/>
    <w:rsid w:val="0070615E"/>
    <w:rsid w:val="00715788"/>
    <w:rsid w:val="007355E9"/>
    <w:rsid w:val="00742258"/>
    <w:rsid w:val="00744D62"/>
    <w:rsid w:val="007B201A"/>
    <w:rsid w:val="007B2336"/>
    <w:rsid w:val="007B45B4"/>
    <w:rsid w:val="007B79D5"/>
    <w:rsid w:val="00832089"/>
    <w:rsid w:val="0084683E"/>
    <w:rsid w:val="00846D20"/>
    <w:rsid w:val="00847A61"/>
    <w:rsid w:val="00897D7B"/>
    <w:rsid w:val="008B1438"/>
    <w:rsid w:val="008C52B9"/>
    <w:rsid w:val="00932824"/>
    <w:rsid w:val="0097053E"/>
    <w:rsid w:val="0097794A"/>
    <w:rsid w:val="0098337F"/>
    <w:rsid w:val="0099769E"/>
    <w:rsid w:val="009C7573"/>
    <w:rsid w:val="009E540E"/>
    <w:rsid w:val="009E5C8C"/>
    <w:rsid w:val="009F45EF"/>
    <w:rsid w:val="00A138D1"/>
    <w:rsid w:val="00A56853"/>
    <w:rsid w:val="00A64718"/>
    <w:rsid w:val="00A81858"/>
    <w:rsid w:val="00AF7BEC"/>
    <w:rsid w:val="00B1298F"/>
    <w:rsid w:val="00B22728"/>
    <w:rsid w:val="00B77999"/>
    <w:rsid w:val="00BD137B"/>
    <w:rsid w:val="00C027E8"/>
    <w:rsid w:val="00C53633"/>
    <w:rsid w:val="00C73877"/>
    <w:rsid w:val="00C9155D"/>
    <w:rsid w:val="00CB4551"/>
    <w:rsid w:val="00CC40A9"/>
    <w:rsid w:val="00CD4809"/>
    <w:rsid w:val="00D04058"/>
    <w:rsid w:val="00D274AC"/>
    <w:rsid w:val="00DB125D"/>
    <w:rsid w:val="00DC1F9A"/>
    <w:rsid w:val="00DD6321"/>
    <w:rsid w:val="00E05A06"/>
    <w:rsid w:val="00E643CD"/>
    <w:rsid w:val="00E6796C"/>
    <w:rsid w:val="00E85772"/>
    <w:rsid w:val="00E9333F"/>
    <w:rsid w:val="00EC5D1A"/>
    <w:rsid w:val="00EE5463"/>
    <w:rsid w:val="00F3090F"/>
    <w:rsid w:val="00F46653"/>
    <w:rsid w:val="00F740DD"/>
    <w:rsid w:val="00F90634"/>
    <w:rsid w:val="00F94D20"/>
    <w:rsid w:val="00FC3A2F"/>
    <w:rsid w:val="00FC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B575"/>
  <w15:chartTrackingRefBased/>
  <w15:docId w15:val="{D241FA17-C7DF-4859-8004-4C7B8CF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B4"/>
    <w:pPr>
      <w:spacing w:after="0" w:line="240" w:lineRule="auto"/>
    </w:pPr>
    <w:rPr>
      <w:rFonts w:ascii="Verdana" w:eastAsia="Times New Roman" w:hAnsi="Verdana" w:cs="Times New Roman"/>
      <w:kern w:val="0"/>
      <w:szCs w:val="24"/>
      <w:lang w:val="fr-BE" w:eastAsia="en-GB"/>
      <w14:ligatures w14:val="none"/>
    </w:rPr>
  </w:style>
  <w:style w:type="paragraph" w:styleId="Titre1">
    <w:name w:val="heading 1"/>
    <w:basedOn w:val="Normal"/>
    <w:next w:val="Normal"/>
    <w:link w:val="Titre1Car"/>
    <w:uiPriority w:val="9"/>
    <w:qFormat/>
    <w:rsid w:val="001236C1"/>
    <w:pPr>
      <w:keepNext/>
      <w:keepLines/>
      <w:spacing w:before="24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1236C1"/>
    <w:pPr>
      <w:keepNext/>
      <w:keepLines/>
      <w:spacing w:before="40"/>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unhideWhenUsed/>
    <w:qFormat/>
    <w:rsid w:val="001236C1"/>
    <w:pPr>
      <w:keepNext/>
      <w:keepLines/>
      <w:spacing w:before="40"/>
      <w:outlineLvl w:val="2"/>
    </w:pPr>
    <w:rPr>
      <w:rFonts w:asciiTheme="majorHAnsi" w:eastAsiaTheme="majorEastAsia" w:hAnsiTheme="majorHAnsi" w:cstheme="majorBidi"/>
      <w:b/>
      <w:sz w:val="24"/>
    </w:rPr>
  </w:style>
  <w:style w:type="paragraph" w:styleId="Titre4">
    <w:name w:val="heading 4"/>
    <w:basedOn w:val="Normal"/>
    <w:next w:val="Normal"/>
    <w:link w:val="Titre4Car"/>
    <w:uiPriority w:val="9"/>
    <w:semiHidden/>
    <w:unhideWhenUsed/>
    <w:qFormat/>
    <w:rsid w:val="007B45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45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45B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45B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45B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45B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6C1"/>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1236C1"/>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rsid w:val="001236C1"/>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semiHidden/>
    <w:rsid w:val="007B45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45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45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45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45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45B4"/>
    <w:rPr>
      <w:rFonts w:eastAsiaTheme="majorEastAsia" w:cstheme="majorBidi"/>
      <w:color w:val="272727" w:themeColor="text1" w:themeTint="D8"/>
    </w:rPr>
  </w:style>
  <w:style w:type="paragraph" w:styleId="Titre">
    <w:name w:val="Title"/>
    <w:basedOn w:val="Normal"/>
    <w:next w:val="Normal"/>
    <w:link w:val="TitreCar"/>
    <w:uiPriority w:val="10"/>
    <w:qFormat/>
    <w:rsid w:val="007B45B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45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45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45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45B4"/>
    <w:pPr>
      <w:spacing w:before="160"/>
      <w:jc w:val="center"/>
    </w:pPr>
    <w:rPr>
      <w:i/>
      <w:iCs/>
      <w:color w:val="404040" w:themeColor="text1" w:themeTint="BF"/>
    </w:rPr>
  </w:style>
  <w:style w:type="character" w:customStyle="1" w:styleId="CitationCar">
    <w:name w:val="Citation Car"/>
    <w:basedOn w:val="Policepardfaut"/>
    <w:link w:val="Citation"/>
    <w:uiPriority w:val="29"/>
    <w:rsid w:val="007B45B4"/>
    <w:rPr>
      <w:i/>
      <w:iCs/>
      <w:color w:val="404040" w:themeColor="text1" w:themeTint="BF"/>
    </w:rPr>
  </w:style>
  <w:style w:type="paragraph" w:styleId="Paragraphedeliste">
    <w:name w:val="List Paragraph"/>
    <w:basedOn w:val="Normal"/>
    <w:uiPriority w:val="34"/>
    <w:qFormat/>
    <w:rsid w:val="007B45B4"/>
    <w:pPr>
      <w:ind w:left="720"/>
      <w:contextualSpacing/>
    </w:pPr>
  </w:style>
  <w:style w:type="character" w:styleId="Accentuationintense">
    <w:name w:val="Intense Emphasis"/>
    <w:basedOn w:val="Policepardfaut"/>
    <w:uiPriority w:val="21"/>
    <w:qFormat/>
    <w:rsid w:val="007B45B4"/>
    <w:rPr>
      <w:i/>
      <w:iCs/>
      <w:color w:val="0F4761" w:themeColor="accent1" w:themeShade="BF"/>
    </w:rPr>
  </w:style>
  <w:style w:type="paragraph" w:styleId="Citationintense">
    <w:name w:val="Intense Quote"/>
    <w:basedOn w:val="Normal"/>
    <w:next w:val="Normal"/>
    <w:link w:val="CitationintenseCar"/>
    <w:uiPriority w:val="30"/>
    <w:qFormat/>
    <w:rsid w:val="007B4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45B4"/>
    <w:rPr>
      <w:i/>
      <w:iCs/>
      <w:color w:val="0F4761" w:themeColor="accent1" w:themeShade="BF"/>
    </w:rPr>
  </w:style>
  <w:style w:type="character" w:styleId="Rfrenceintense">
    <w:name w:val="Intense Reference"/>
    <w:basedOn w:val="Policepardfaut"/>
    <w:uiPriority w:val="32"/>
    <w:qFormat/>
    <w:rsid w:val="007B45B4"/>
    <w:rPr>
      <w:b/>
      <w:bCs/>
      <w:smallCaps/>
      <w:color w:val="0F4761" w:themeColor="accent1" w:themeShade="BF"/>
      <w:spacing w:val="5"/>
    </w:rPr>
  </w:style>
  <w:style w:type="character" w:styleId="Lienhypertexte">
    <w:name w:val="Hyperlink"/>
    <w:basedOn w:val="Policepardfaut"/>
    <w:rsid w:val="007B45B4"/>
    <w:rPr>
      <w:color w:val="467886" w:themeColor="hyperlink"/>
      <w:u w:val="single"/>
    </w:rPr>
  </w:style>
  <w:style w:type="paragraph" w:styleId="NormalWeb">
    <w:name w:val="Normal (Web)"/>
    <w:basedOn w:val="Normal"/>
    <w:uiPriority w:val="99"/>
    <w:unhideWhenUsed/>
    <w:rsid w:val="007B45B4"/>
    <w:pPr>
      <w:spacing w:before="100" w:beforeAutospacing="1" w:after="100" w:afterAutospacing="1"/>
    </w:pPr>
    <w:rPr>
      <w:rFonts w:ascii="Times New Roman" w:hAnsi="Times New Roman"/>
      <w:sz w:val="24"/>
      <w:lang w:val="en-US" w:eastAsia="en-US"/>
    </w:rPr>
  </w:style>
  <w:style w:type="table" w:styleId="Grilledutableau">
    <w:name w:val="Table Grid"/>
    <w:basedOn w:val="TableauNormal"/>
    <w:rsid w:val="007B45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B1438"/>
    <w:rPr>
      <w:sz w:val="16"/>
      <w:szCs w:val="16"/>
    </w:rPr>
  </w:style>
  <w:style w:type="paragraph" w:styleId="Commentaire">
    <w:name w:val="annotation text"/>
    <w:basedOn w:val="Normal"/>
    <w:link w:val="CommentaireCar"/>
    <w:uiPriority w:val="99"/>
    <w:unhideWhenUsed/>
    <w:rsid w:val="008B1438"/>
    <w:rPr>
      <w:sz w:val="20"/>
      <w:szCs w:val="20"/>
    </w:rPr>
  </w:style>
  <w:style w:type="character" w:customStyle="1" w:styleId="CommentaireCar">
    <w:name w:val="Commentaire Car"/>
    <w:basedOn w:val="Policepardfaut"/>
    <w:link w:val="Commentaire"/>
    <w:uiPriority w:val="99"/>
    <w:rsid w:val="008B1438"/>
    <w:rPr>
      <w:rFonts w:ascii="Verdana" w:eastAsia="Times New Roman" w:hAnsi="Verdana" w:cs="Times New Roman"/>
      <w:kern w:val="0"/>
      <w:sz w:val="20"/>
      <w:szCs w:val="20"/>
      <w:lang w:val="fr-BE" w:eastAsia="en-GB"/>
      <w14:ligatures w14:val="none"/>
    </w:rPr>
  </w:style>
  <w:style w:type="paragraph" w:styleId="Objetducommentaire">
    <w:name w:val="annotation subject"/>
    <w:basedOn w:val="Commentaire"/>
    <w:next w:val="Commentaire"/>
    <w:link w:val="ObjetducommentaireCar"/>
    <w:uiPriority w:val="99"/>
    <w:semiHidden/>
    <w:unhideWhenUsed/>
    <w:rsid w:val="008B1438"/>
    <w:rPr>
      <w:b/>
      <w:bCs/>
    </w:rPr>
  </w:style>
  <w:style w:type="character" w:customStyle="1" w:styleId="ObjetducommentaireCar">
    <w:name w:val="Objet du commentaire Car"/>
    <w:basedOn w:val="CommentaireCar"/>
    <w:link w:val="Objetducommentaire"/>
    <w:uiPriority w:val="99"/>
    <w:semiHidden/>
    <w:rsid w:val="008B1438"/>
    <w:rPr>
      <w:rFonts w:ascii="Verdana" w:eastAsia="Times New Roman" w:hAnsi="Verdana" w:cs="Times New Roman"/>
      <w:b/>
      <w:bCs/>
      <w:kern w:val="0"/>
      <w:sz w:val="20"/>
      <w:szCs w:val="20"/>
      <w:lang w:val="fr-BE" w:eastAsia="en-GB"/>
      <w14:ligatures w14:val="none"/>
    </w:rPr>
  </w:style>
  <w:style w:type="character" w:styleId="Mentionnonrsolue">
    <w:name w:val="Unresolved Mention"/>
    <w:basedOn w:val="Policepardfaut"/>
    <w:uiPriority w:val="99"/>
    <w:semiHidden/>
    <w:unhideWhenUsed/>
    <w:rsid w:val="00FC5998"/>
    <w:rPr>
      <w:color w:val="605E5C"/>
      <w:shd w:val="clear" w:color="auto" w:fill="E1DFDD"/>
    </w:rPr>
  </w:style>
  <w:style w:type="character" w:styleId="Lienhypertextesuivivisit">
    <w:name w:val="FollowedHyperlink"/>
    <w:basedOn w:val="Policepardfaut"/>
    <w:uiPriority w:val="99"/>
    <w:semiHidden/>
    <w:unhideWhenUsed/>
    <w:rsid w:val="009833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43060">
      <w:bodyDiv w:val="1"/>
      <w:marLeft w:val="0"/>
      <w:marRight w:val="0"/>
      <w:marTop w:val="0"/>
      <w:marBottom w:val="0"/>
      <w:divBdr>
        <w:top w:val="none" w:sz="0" w:space="0" w:color="auto"/>
        <w:left w:val="none" w:sz="0" w:space="0" w:color="auto"/>
        <w:bottom w:val="none" w:sz="0" w:space="0" w:color="auto"/>
        <w:right w:val="none" w:sz="0" w:space="0" w:color="auto"/>
      </w:divBdr>
    </w:div>
    <w:div w:id="273482900">
      <w:bodyDiv w:val="1"/>
      <w:marLeft w:val="0"/>
      <w:marRight w:val="0"/>
      <w:marTop w:val="0"/>
      <w:marBottom w:val="0"/>
      <w:divBdr>
        <w:top w:val="none" w:sz="0" w:space="0" w:color="auto"/>
        <w:left w:val="none" w:sz="0" w:space="0" w:color="auto"/>
        <w:bottom w:val="none" w:sz="0" w:space="0" w:color="auto"/>
        <w:right w:val="none" w:sz="0" w:space="0" w:color="auto"/>
      </w:divBdr>
    </w:div>
    <w:div w:id="417291437">
      <w:bodyDiv w:val="1"/>
      <w:marLeft w:val="0"/>
      <w:marRight w:val="0"/>
      <w:marTop w:val="0"/>
      <w:marBottom w:val="0"/>
      <w:divBdr>
        <w:top w:val="none" w:sz="0" w:space="0" w:color="auto"/>
        <w:left w:val="none" w:sz="0" w:space="0" w:color="auto"/>
        <w:bottom w:val="none" w:sz="0" w:space="0" w:color="auto"/>
        <w:right w:val="none" w:sz="0" w:space="0" w:color="auto"/>
      </w:divBdr>
    </w:div>
    <w:div w:id="660083506">
      <w:bodyDiv w:val="1"/>
      <w:marLeft w:val="0"/>
      <w:marRight w:val="0"/>
      <w:marTop w:val="0"/>
      <w:marBottom w:val="0"/>
      <w:divBdr>
        <w:top w:val="none" w:sz="0" w:space="0" w:color="auto"/>
        <w:left w:val="none" w:sz="0" w:space="0" w:color="auto"/>
        <w:bottom w:val="none" w:sz="0" w:space="0" w:color="auto"/>
        <w:right w:val="none" w:sz="0" w:space="0" w:color="auto"/>
      </w:divBdr>
    </w:div>
    <w:div w:id="849637853">
      <w:bodyDiv w:val="1"/>
      <w:marLeft w:val="0"/>
      <w:marRight w:val="0"/>
      <w:marTop w:val="0"/>
      <w:marBottom w:val="0"/>
      <w:divBdr>
        <w:top w:val="none" w:sz="0" w:space="0" w:color="auto"/>
        <w:left w:val="none" w:sz="0" w:space="0" w:color="auto"/>
        <w:bottom w:val="none" w:sz="0" w:space="0" w:color="auto"/>
        <w:right w:val="none" w:sz="0" w:space="0" w:color="auto"/>
      </w:divBdr>
    </w:div>
    <w:div w:id="1117718632">
      <w:bodyDiv w:val="1"/>
      <w:marLeft w:val="0"/>
      <w:marRight w:val="0"/>
      <w:marTop w:val="0"/>
      <w:marBottom w:val="0"/>
      <w:divBdr>
        <w:top w:val="none" w:sz="0" w:space="0" w:color="auto"/>
        <w:left w:val="none" w:sz="0" w:space="0" w:color="auto"/>
        <w:bottom w:val="none" w:sz="0" w:space="0" w:color="auto"/>
        <w:right w:val="none" w:sz="0" w:space="0" w:color="auto"/>
      </w:divBdr>
    </w:div>
    <w:div w:id="1173951823">
      <w:bodyDiv w:val="1"/>
      <w:marLeft w:val="0"/>
      <w:marRight w:val="0"/>
      <w:marTop w:val="0"/>
      <w:marBottom w:val="0"/>
      <w:divBdr>
        <w:top w:val="none" w:sz="0" w:space="0" w:color="auto"/>
        <w:left w:val="none" w:sz="0" w:space="0" w:color="auto"/>
        <w:bottom w:val="none" w:sz="0" w:space="0" w:color="auto"/>
        <w:right w:val="none" w:sz="0" w:space="0" w:color="auto"/>
      </w:divBdr>
    </w:div>
    <w:div w:id="1538279349">
      <w:bodyDiv w:val="1"/>
      <w:marLeft w:val="0"/>
      <w:marRight w:val="0"/>
      <w:marTop w:val="0"/>
      <w:marBottom w:val="0"/>
      <w:divBdr>
        <w:top w:val="none" w:sz="0" w:space="0" w:color="auto"/>
        <w:left w:val="none" w:sz="0" w:space="0" w:color="auto"/>
        <w:bottom w:val="none" w:sz="0" w:space="0" w:color="auto"/>
        <w:right w:val="none" w:sz="0" w:space="0" w:color="auto"/>
      </w:divBdr>
    </w:div>
    <w:div w:id="1676035073">
      <w:bodyDiv w:val="1"/>
      <w:marLeft w:val="0"/>
      <w:marRight w:val="0"/>
      <w:marTop w:val="0"/>
      <w:marBottom w:val="0"/>
      <w:divBdr>
        <w:top w:val="none" w:sz="0" w:space="0" w:color="auto"/>
        <w:left w:val="none" w:sz="0" w:space="0" w:color="auto"/>
        <w:bottom w:val="none" w:sz="0" w:space="0" w:color="auto"/>
        <w:right w:val="none" w:sz="0" w:space="0" w:color="auto"/>
      </w:divBdr>
    </w:div>
    <w:div w:id="20897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bpt.be/consommateurs" TargetMode="External"/><Relationship Id="rId18" Type="http://schemas.openxmlformats.org/officeDocument/2006/relationships/hyperlink" Target="https://wallonie.be/fr/demarches?f%5B0%5D=public%3A284" TargetMode="External"/><Relationship Id="rId26" Type="http://schemas.openxmlformats.org/officeDocument/2006/relationships/hyperlink" Target="https://ph.belgium.be/fr/avis/avis-2022-04.html" TargetMode="External"/><Relationship Id="rId39" Type="http://schemas.openxmlformats.org/officeDocument/2006/relationships/hyperlink" Target="https://statbel.fgov.be/fr/nouvelles/statistiques-structurelles-des-entreprises-2022-959-des-entreprises-belges-sont-des-micro" TargetMode="External"/><Relationship Id="rId3" Type="http://schemas.openxmlformats.org/officeDocument/2006/relationships/settings" Target="settings.xml"/><Relationship Id="rId21" Type="http://schemas.openxmlformats.org/officeDocument/2006/relationships/comments" Target="comments.xml"/><Relationship Id="rId34" Type="http://schemas.openxmlformats.org/officeDocument/2006/relationships/hyperlink" Target="https://economie.fgov.be/sites/default/files/Files/Entreprises/Guidelines-services-commerce-electronique-accessibles.pdf" TargetMode="External"/><Relationship Id="rId42" Type="http://schemas.openxmlformats.org/officeDocument/2006/relationships/hyperlink" Target="https://eur-lex.europa.eu/legal-content/FR/TXT/PDF/?uri=CELEX:32016L2102&amp;from=FR" TargetMode="External"/><Relationship Id="rId7" Type="http://schemas.openxmlformats.org/officeDocument/2006/relationships/image" Target="media/image3.png"/><Relationship Id="rId12" Type="http://schemas.openxmlformats.org/officeDocument/2006/relationships/hyperlink" Target="https://eur-lex.europa.eu/legal-content/EN/NIM/?uri=CELEX:32019L0882&amp;qid=1749635261991" TargetMode="External"/><Relationship Id="rId17" Type="http://schemas.openxmlformats.org/officeDocument/2006/relationships/hyperlink" Target="https://mobilit.belgium.be/fr" TargetMode="External"/><Relationship Id="rId25" Type="http://schemas.openxmlformats.org/officeDocument/2006/relationships/hyperlink" Target="https://ph.belgium.be/fr/avis/avis-2022-04.html" TargetMode="External"/><Relationship Id="rId33" Type="http://schemas.openxmlformats.org/officeDocument/2006/relationships/hyperlink" Target="https://economie.fgov.be/sites/default/files/Files/Entreprises/Guidelines-accessibilite-services-bancaires.pdf" TargetMode="External"/><Relationship Id="rId38" Type="http://schemas.openxmlformats.org/officeDocument/2006/relationships/hyperlink" Target="https://ibz.be/f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dg.be/desktopdefault.aspx/tabid-4052/" TargetMode="External"/><Relationship Id="rId20" Type="http://schemas.openxmlformats.org/officeDocument/2006/relationships/hyperlink" Target="https://www.vlaanderen.be/departement-mobiliteit-en-openbare-werken/contact" TargetMode="External"/><Relationship Id="rId29" Type="http://schemas.openxmlformats.org/officeDocument/2006/relationships/hyperlink" Target="https://economie.fgov.be/sites/default/files/Files/Entreprises/Guidelines-accessibilite-services-bancaires.pdf" TargetMode="External"/><Relationship Id="rId41" Type="http://schemas.openxmlformats.org/officeDocument/2006/relationships/hyperlink" Target="https://eur-lex.europa.eu/legal-content/FR/TXT/PDF/?uri=CELEX:32016L2102&amp;from=F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18/08/relationships/commentsExtensible" Target="commentsExtensible.xml"/><Relationship Id="rId32" Type="http://schemas.openxmlformats.org/officeDocument/2006/relationships/hyperlink" Target="https://economie.fgov.be/fr/themes/entreprises/guidance/cadre-legal-concernant" TargetMode="External"/><Relationship Id="rId37" Type="http://schemas.openxmlformats.org/officeDocument/2006/relationships/hyperlink" Target="https://mobilit.belgium.be/fr/contact/informations-generales" TargetMode="External"/><Relationship Id="rId40" Type="http://schemas.openxmlformats.org/officeDocument/2006/relationships/hyperlink" Target="https://www.ejustice.just.fgov.be/eli/loi/2018/07/19/2018040577/justel" TargetMode="External"/><Relationship Id="rId45" Type="http://schemas.microsoft.com/office/2011/relationships/people" Target="people.xml"/><Relationship Id="rId5" Type="http://schemas.openxmlformats.org/officeDocument/2006/relationships/image" Target="media/image1.jpeg"/><Relationship Id="rId15" Type="http://schemas.openxmlformats.org/officeDocument/2006/relationships/hyperlink" Target="https://www.vlaanderen.be/contacteer-de-vlaamse-overheid" TargetMode="External"/><Relationship Id="rId23" Type="http://schemas.microsoft.com/office/2016/09/relationships/commentsIds" Target="commentsIds.xml"/><Relationship Id="rId28" Type="http://schemas.openxmlformats.org/officeDocument/2006/relationships/hyperlink" Target="https://ph.belgium.be/fr/avis/avis-2025-17.html" TargetMode="External"/><Relationship Id="rId36" Type="http://schemas.openxmlformats.org/officeDocument/2006/relationships/hyperlink" Target="https://www.ibpt.be/consommateurs/publication/plainte-contre-une-prestation-de-l-ibpt" TargetMode="External"/><Relationship Id="rId10" Type="http://schemas.openxmlformats.org/officeDocument/2006/relationships/image" Target="media/image6.jpeg"/><Relationship Id="rId19" Type="http://schemas.openxmlformats.org/officeDocument/2006/relationships/hyperlink" Target="https://be.brussels/fr/propos-de-la-region/plaintes-et-litiges/plaintes" TargetMode="External"/><Relationship Id="rId31" Type="http://schemas.openxmlformats.org/officeDocument/2006/relationships/hyperlink" Target="https://news.economie.fgov.be/251714-directive-sur-l-accessibilite-un-pas-en-avant-pour-une-societe-plus-inclusiv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federation-wallonie-bruxelles.be/index.php?id=contact" TargetMode="External"/><Relationship Id="rId22" Type="http://schemas.microsoft.com/office/2011/relationships/commentsExtended" Target="commentsExtended.xml"/><Relationship Id="rId27" Type="http://schemas.openxmlformats.org/officeDocument/2006/relationships/hyperlink" Target="https://ph.belgium.be/fr/avis/avis-2025-17.html" TargetMode="External"/><Relationship Id="rId30" Type="http://schemas.openxmlformats.org/officeDocument/2006/relationships/hyperlink" Target="https://economie.fgov.be/sites/default/files/Files/Entreprises/Guidelines-services-commerce-electronique-accessibles.pdf" TargetMode="External"/><Relationship Id="rId35" Type="http://schemas.openxmlformats.org/officeDocument/2006/relationships/hyperlink" Target="https://cc.consumerconnect.be/csp?id=report_form&amp;lang=fr" TargetMode="External"/><Relationship Id="rId43" Type="http://schemas.openxmlformats.org/officeDocument/2006/relationships/hyperlink" Target="https://eur-lex.europa.eu/legal-content/FR/TXT/?uri=OJ:L_2024016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3667</Words>
  <Characters>20902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docId:D6D1C68ABBB776A2E7359CD2F9432750</cp:keywords>
  <dc:description/>
  <cp:lastModifiedBy>Magritte Olivier</cp:lastModifiedBy>
  <cp:revision>2</cp:revision>
  <dcterms:created xsi:type="dcterms:W3CDTF">2025-09-10T11:22:00Z</dcterms:created>
  <dcterms:modified xsi:type="dcterms:W3CDTF">2025-09-10T11:22:00Z</dcterms:modified>
</cp:coreProperties>
</file>