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4BA8" w14:textId="71909F7D" w:rsidR="00C00AE4" w:rsidRPr="00655D12" w:rsidRDefault="00C00AE4" w:rsidP="006F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ONTMOETING MET MINISTER </w:t>
      </w:r>
      <w:r w:rsidR="000478EE">
        <w:rPr>
          <w:rFonts w:ascii="Verdana" w:hAnsi="Verdana"/>
          <w:sz w:val="22"/>
          <w:szCs w:val="22"/>
          <w:lang w:val="nl-BE"/>
        </w:rPr>
        <w:t>JAN JAMBON</w:t>
      </w:r>
      <w:r w:rsidR="006F2D42" w:rsidRPr="00655D12">
        <w:rPr>
          <w:rFonts w:ascii="Verdana" w:hAnsi="Verdana"/>
          <w:sz w:val="22"/>
          <w:szCs w:val="22"/>
          <w:lang w:val="nl-BE"/>
        </w:rPr>
        <w:t xml:space="preserve"> </w:t>
      </w:r>
      <w:r w:rsidR="000478EE" w:rsidRPr="000478EE">
        <w:rPr>
          <w:rFonts w:ascii="Verdana" w:hAnsi="Verdana"/>
          <w:sz w:val="22"/>
          <w:szCs w:val="22"/>
          <w:highlight w:val="yellow"/>
          <w:lang w:val="nl-BE"/>
        </w:rPr>
        <w:t>XXX</w:t>
      </w:r>
      <w:r w:rsidR="006F2D42" w:rsidRPr="00655D12">
        <w:rPr>
          <w:rFonts w:ascii="Verdana" w:hAnsi="Verdana"/>
          <w:sz w:val="22"/>
          <w:szCs w:val="22"/>
          <w:lang w:val="nl-BE"/>
        </w:rPr>
        <w:t xml:space="preserve">  </w:t>
      </w:r>
      <w:r w:rsidRPr="00655D12">
        <w:rPr>
          <w:rFonts w:ascii="Verdana" w:hAnsi="Verdana"/>
          <w:sz w:val="22"/>
          <w:szCs w:val="22"/>
          <w:lang w:val="nl-BE"/>
        </w:rPr>
        <w:t xml:space="preserve">2025 </w:t>
      </w:r>
    </w:p>
    <w:p w14:paraId="26A4E7FF" w14:textId="77777777" w:rsidR="000478EE" w:rsidRPr="000478EE" w:rsidRDefault="000478EE" w:rsidP="000478EE">
      <w:pPr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</w:pPr>
      <w:r>
        <w:rPr>
          <w:rFonts w:ascii="Verdana" w:hAnsi="Verdana"/>
          <w:color w:val="282828"/>
          <w:sz w:val="22"/>
          <w:szCs w:val="22"/>
          <w:lang w:val="nl-BE"/>
        </w:rPr>
        <w:t xml:space="preserve">De heer Jan </w:t>
      </w:r>
      <w:proofErr w:type="spellStart"/>
      <w:r>
        <w:rPr>
          <w:rFonts w:ascii="Verdana" w:hAnsi="Verdana"/>
          <w:color w:val="282828"/>
          <w:sz w:val="22"/>
          <w:szCs w:val="22"/>
          <w:lang w:val="nl-BE"/>
        </w:rPr>
        <w:t>Jambon</w:t>
      </w:r>
      <w:proofErr w:type="spellEnd"/>
      <w:r>
        <w:rPr>
          <w:rFonts w:ascii="Verdana" w:hAnsi="Verdana"/>
          <w:color w:val="282828"/>
          <w:sz w:val="22"/>
          <w:szCs w:val="22"/>
          <w:lang w:val="nl-BE"/>
        </w:rPr>
        <w:t>, N-VA</w:t>
      </w:r>
      <w:r w:rsidR="006F2D42" w:rsidRPr="00655D12">
        <w:rPr>
          <w:rFonts w:ascii="Verdana" w:hAnsi="Verdana"/>
          <w:color w:val="282828"/>
          <w:sz w:val="22"/>
          <w:szCs w:val="22"/>
          <w:lang w:val="nl-BE"/>
        </w:rPr>
        <w:t xml:space="preserve">, </w:t>
      </w:r>
      <w:r w:rsidRPr="000478EE"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  <w:t>vice-eersteminister en minister van Financiën en Pensioenen, belast met de Nationale Loterij en de Federale Culturele Instellingen</w:t>
      </w:r>
    </w:p>
    <w:p w14:paraId="6CFE52DC" w14:textId="77777777" w:rsidR="000478EE" w:rsidRPr="000478EE" w:rsidRDefault="000478EE" w:rsidP="000478EE">
      <w:pPr>
        <w:shd w:val="clear" w:color="auto" w:fill="FBFBF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</w:pPr>
      <w:proofErr w:type="spellStart"/>
      <w:r w:rsidRPr="000478EE"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  <w:t>Bevoegdheden</w:t>
      </w:r>
      <w:proofErr w:type="spellEnd"/>
    </w:p>
    <w:p w14:paraId="73BDA2CD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</w:pP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Federale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Overheidsdienst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Financiën</w:t>
      </w:r>
      <w:proofErr w:type="spellEnd"/>
    </w:p>
    <w:p w14:paraId="4D1B8D6E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</w:pP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Federale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Participatie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-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en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Investeringsmaatschappij</w:t>
      </w:r>
      <w:proofErr w:type="spellEnd"/>
    </w:p>
    <w:p w14:paraId="350D91A6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Gezamenlijke voogdij met de minister van Economie en de minister belast met Buitenlandse Handel: Delcredere</w:t>
      </w:r>
    </w:p>
    <w:p w14:paraId="64995B3A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Gezamenlijke bevoegdheid met minister van Binnenlandse Zaken : NV ASTRID</w:t>
      </w:r>
    </w:p>
    <w:p w14:paraId="6A4DBCAC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 xml:space="preserve">Gezamenlijke bevoegdheid met de minister van Economie en de minister van Consumentenbescherming : Financial Services and Markets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Authority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 xml:space="preserve"> (FSMA)</w:t>
      </w:r>
    </w:p>
    <w:p w14:paraId="434C154F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Voorzitterschap Ministerieel Comité en College voor de strijd tegen de fiscale en sociale fraude</w:t>
      </w:r>
    </w:p>
    <w:p w14:paraId="58DA5715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Pensioenen (met uitzondering van de pensioenen van zelfstandigen – protocol met de minister van Zelfstandigen voor de uitvoering van gemengde pensioenen)</w:t>
      </w:r>
    </w:p>
    <w:p w14:paraId="4B4BA33C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  <w:t>Voogdij over Federale Pensioendienst (FPD)</w:t>
      </w:r>
    </w:p>
    <w:p w14:paraId="2FC21023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</w:pPr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Nationale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Loterij</w:t>
      </w:r>
      <w:proofErr w:type="spellEnd"/>
    </w:p>
    <w:p w14:paraId="42F1D24D" w14:textId="77777777" w:rsidR="000478EE" w:rsidRPr="000478EE" w:rsidRDefault="000478EE" w:rsidP="000478EE">
      <w:pPr>
        <w:numPr>
          <w:ilvl w:val="0"/>
          <w:numId w:val="16"/>
        </w:numPr>
        <w:spacing w:after="165" w:line="240" w:lineRule="auto"/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</w:pP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Federale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Culturele</w:t>
      </w:r>
      <w:proofErr w:type="spellEnd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0478EE">
        <w:rPr>
          <w:rFonts w:ascii="Verdana" w:eastAsia="Times New Roman" w:hAnsi="Verdana" w:cs="Times New Roman"/>
          <w:color w:val="282828"/>
          <w:kern w:val="0"/>
          <w:sz w:val="20"/>
          <w:szCs w:val="20"/>
          <w14:ligatures w14:val="none"/>
        </w:rPr>
        <w:t>Instellingen</w:t>
      </w:r>
      <w:proofErr w:type="spellEnd"/>
    </w:p>
    <w:p w14:paraId="2D3C3CAA" w14:textId="1F64E85F" w:rsidR="006F2D42" w:rsidRPr="00655D12" w:rsidRDefault="006F2D42" w:rsidP="006F2D42">
      <w:pPr>
        <w:pStyle w:val="Normaalweb"/>
        <w:shd w:val="clear" w:color="auto" w:fill="FBFBFB"/>
        <w:rPr>
          <w:rFonts w:ascii="Verdana" w:hAnsi="Verdana"/>
          <w:color w:val="282828"/>
          <w:sz w:val="22"/>
          <w:szCs w:val="22"/>
          <w:lang w:val="nl-BE"/>
        </w:rPr>
      </w:pPr>
    </w:p>
    <w:p w14:paraId="1566537B" w14:textId="77777777" w:rsidR="006F2D42" w:rsidRPr="00655D12" w:rsidRDefault="006F2D42" w:rsidP="00C00AE4">
      <w:pPr>
        <w:pStyle w:val="Normaalweb"/>
        <w:shd w:val="clear" w:color="auto" w:fill="FBFBFB"/>
        <w:rPr>
          <w:rFonts w:ascii="Verdana" w:hAnsi="Verdana" w:cs="Arial"/>
          <w:sz w:val="22"/>
          <w:szCs w:val="22"/>
          <w:lang w:val="nl-BE"/>
        </w:rPr>
      </w:pPr>
    </w:p>
    <w:p w14:paraId="4FABC145" w14:textId="2F039D40" w:rsidR="00B638A6" w:rsidRPr="00655D12" w:rsidRDefault="006F2D42" w:rsidP="00B638A6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fr-BE"/>
        </w:rPr>
      </w:pPr>
      <w:bookmarkStart w:id="0" w:name="_Hlk205824947"/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Inleiding</w:t>
      </w:r>
      <w:proofErr w:type="spellEnd"/>
    </w:p>
    <w:bookmarkEnd w:id="0"/>
    <w:p w14:paraId="206C0C13" w14:textId="77777777" w:rsidR="006F19A7" w:rsidRPr="00655D12" w:rsidRDefault="006F19A7" w:rsidP="27E52978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735353B1" w14:textId="77777777" w:rsidR="00F717AB" w:rsidRPr="00655D12" w:rsidRDefault="00F717AB" w:rsidP="00F717AB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0473AFF8" w14:textId="22BACCE6" w:rsidR="00224068" w:rsidRPr="00655D12" w:rsidRDefault="743CA44C" w:rsidP="27E52978">
      <w:pPr>
        <w:pStyle w:val="Lijstalinea"/>
        <w:numPr>
          <w:ilvl w:val="0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Personen met een handicap</w:t>
      </w:r>
      <w:r w:rsidR="161DEB0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: definitie en reikwijdte </w:t>
      </w:r>
    </w:p>
    <w:p w14:paraId="0DD6528C" w14:textId="77777777" w:rsidR="006F2D42" w:rsidRPr="00655D12" w:rsidRDefault="006F2D42" w:rsidP="006F2D42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nl-BE"/>
        </w:rPr>
      </w:pPr>
    </w:p>
    <w:p w14:paraId="71E50630" w14:textId="34302B9D" w:rsidR="00224068" w:rsidRPr="00655D12" w:rsidRDefault="743CA44C" w:rsidP="0022406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Verschillende categorieën </w:t>
      </w:r>
      <w:r w:rsidR="003F200C" w:rsidRPr="00655D12">
        <w:rPr>
          <w:rFonts w:ascii="Verdana" w:hAnsi="Verdana"/>
          <w:sz w:val="22"/>
          <w:szCs w:val="22"/>
          <w:lang w:val="nl-BE"/>
        </w:rPr>
        <w:t xml:space="preserve">(fysiek, zintuiglijk, intellectueel, mentaal...) </w:t>
      </w:r>
      <w:r w:rsidR="4E584FC0" w:rsidRPr="00655D12">
        <w:rPr>
          <w:rFonts w:ascii="Verdana" w:hAnsi="Verdana"/>
          <w:sz w:val="22"/>
          <w:szCs w:val="22"/>
          <w:lang w:val="nl-BE"/>
        </w:rPr>
        <w:t xml:space="preserve">- 80 % = onzichtbare handicap </w:t>
      </w:r>
      <w:r w:rsidR="004E68B6" w:rsidRPr="00655D12">
        <w:rPr>
          <w:rFonts w:ascii="Verdana" w:hAnsi="Verdana"/>
          <w:sz w:val="22"/>
          <w:szCs w:val="22"/>
          <w:lang w:val="nl-BE"/>
        </w:rPr>
        <w:sym w:font="Wingdings" w:char="F0E8"/>
      </w:r>
      <w:r w:rsidR="4B2660A1" w:rsidRPr="00655D12">
        <w:rPr>
          <w:rFonts w:ascii="Verdana" w:hAnsi="Verdana"/>
          <w:sz w:val="22"/>
          <w:szCs w:val="22"/>
          <w:lang w:val="nl-BE"/>
        </w:rPr>
        <w:t xml:space="preserve"> 15 % van de bevolking + gezinnen</w:t>
      </w:r>
    </w:p>
    <w:p w14:paraId="149E2ED1" w14:textId="4DB5F2CA" w:rsidR="04CCCB5D" w:rsidRPr="00655D12" w:rsidRDefault="04CCCB5D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fr-BE"/>
        </w:rPr>
      </w:pP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Weinig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</w:t>
      </w: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statistieken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en </w:t>
      </w: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gegevens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</w:t>
      </w:r>
    </w:p>
    <w:p w14:paraId="38DEA172" w14:textId="18084FFA" w:rsidR="4E584FC0" w:rsidRPr="00655D12" w:rsidRDefault="4E584FC0" w:rsidP="27E5297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Handicap = verlies van rechten en uitsluiting uit de samenleving  </w:t>
      </w:r>
    </w:p>
    <w:p w14:paraId="3109ED47" w14:textId="5939CB23" w:rsidR="00224068" w:rsidRPr="00655D12" w:rsidRDefault="743CA44C" w:rsidP="0022406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Een handicap </w:t>
      </w:r>
      <w:r w:rsidR="4FD97D97" w:rsidRPr="00655D12">
        <w:rPr>
          <w:rFonts w:ascii="Verdana" w:hAnsi="Verdana"/>
          <w:sz w:val="22"/>
          <w:szCs w:val="22"/>
          <w:lang w:val="nl-BE"/>
        </w:rPr>
        <w:t xml:space="preserve">is een bijzonderheid; het </w:t>
      </w:r>
      <w:r w:rsidR="5D03759C" w:rsidRPr="00655D12">
        <w:rPr>
          <w:rFonts w:ascii="Verdana" w:hAnsi="Verdana"/>
          <w:sz w:val="22"/>
          <w:szCs w:val="22"/>
          <w:lang w:val="nl-BE"/>
        </w:rPr>
        <w:t xml:space="preserve">wordt een probleem wanneer </w:t>
      </w:r>
      <w:r w:rsidR="5D03759C"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omgeving niet is aangepast </w:t>
      </w:r>
    </w:p>
    <w:p w14:paraId="0C4C8CD3" w14:textId="79F7E5BA" w:rsidR="27E52978" w:rsidRPr="00655D12" w:rsidRDefault="27E52978" w:rsidP="27E52978">
      <w:pPr>
        <w:pStyle w:val="Lijstalinea"/>
        <w:ind w:left="1440"/>
        <w:rPr>
          <w:rFonts w:ascii="Verdana" w:hAnsi="Verdana"/>
          <w:sz w:val="22"/>
          <w:szCs w:val="22"/>
          <w:lang w:val="nl-BE"/>
        </w:rPr>
      </w:pPr>
    </w:p>
    <w:p w14:paraId="3B67B383" w14:textId="77777777" w:rsidR="006F2D42" w:rsidRPr="00655D12" w:rsidRDefault="006F2D42" w:rsidP="27E52978">
      <w:pPr>
        <w:pStyle w:val="Lijstalinea"/>
        <w:ind w:left="1440"/>
        <w:rPr>
          <w:rFonts w:ascii="Verdana" w:hAnsi="Verdana"/>
          <w:sz w:val="22"/>
          <w:szCs w:val="22"/>
          <w:lang w:val="nl-BE"/>
        </w:rPr>
      </w:pPr>
    </w:p>
    <w:p w14:paraId="1DD8438F" w14:textId="5D4B0D52" w:rsidR="2305B09B" w:rsidRPr="00655D12" w:rsidRDefault="2305B09B" w:rsidP="27E52978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De situatie rechtzetten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>zodat personen met een handicap hun rechten kunnen uitoefenen</w:t>
      </w:r>
      <w:r w:rsidR="61B5D0C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, een waardig leven kunnen leiden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kunnen deelnemen aan het maatschappelijk leven </w:t>
      </w:r>
    </w:p>
    <w:p w14:paraId="03DF89DC" w14:textId="77777777" w:rsidR="006F2D42" w:rsidRPr="00655D12" w:rsidRDefault="006F2D42" w:rsidP="006F2D42">
      <w:pPr>
        <w:pStyle w:val="Lijstalinea"/>
        <w:rPr>
          <w:rFonts w:ascii="Verdana" w:hAnsi="Verdana"/>
          <w:b/>
          <w:bCs/>
          <w:sz w:val="22"/>
          <w:szCs w:val="22"/>
          <w:lang w:val="nl-BE"/>
        </w:rPr>
      </w:pPr>
    </w:p>
    <w:p w14:paraId="643EB8B5" w14:textId="76CBFD5C" w:rsidR="00F717AB" w:rsidRPr="00655D12" w:rsidRDefault="00F717AB" w:rsidP="154BC4B1">
      <w:pPr>
        <w:pStyle w:val="Lijstalinea"/>
        <w:numPr>
          <w:ilvl w:val="1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UNCRPD - Artikel 23 van de Grondwet: de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wetgever en de politicus moeten zich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effectief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inzetten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voor autonomie en inclusie</w:t>
      </w:r>
      <w:r w:rsidR="006F2D4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.</w:t>
      </w:r>
    </w:p>
    <w:p w14:paraId="21768144" w14:textId="365B44A6" w:rsidR="5A7E23E5" w:rsidRPr="00655D12" w:rsidRDefault="5A7E23E5" w:rsidP="006F2D42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Een waardig leven leiden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: d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 uitkeringen liggen ver </w:t>
      </w:r>
      <w:r w:rsidR="00E51A3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onder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armoedegrens. </w:t>
      </w:r>
    </w:p>
    <w:p w14:paraId="50C367FB" w14:textId="7A01189E" w:rsidR="2305B09B" w:rsidRPr="00655D12" w:rsidRDefault="374641FE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Deelnemen aan het maatschappelijk leven </w:t>
      </w:r>
      <w:r w:rsidR="0035401A" w:rsidRPr="00655D12">
        <w:rPr>
          <w:rFonts w:ascii="Verdana" w:hAnsi="Verdana"/>
          <w:b/>
          <w:bCs/>
          <w:sz w:val="22"/>
          <w:szCs w:val="22"/>
          <w:lang w:val="nl-BE"/>
        </w:rPr>
        <w:sym w:font="Wingdings" w:char="F0E8"/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  <w:r w:rsidR="2305B09B" w:rsidRPr="00655D12">
        <w:rPr>
          <w:rFonts w:ascii="Verdana" w:hAnsi="Verdana"/>
          <w:b/>
          <w:bCs/>
          <w:sz w:val="22"/>
          <w:szCs w:val="22"/>
          <w:lang w:val="nl-BE"/>
        </w:rPr>
        <w:t>De omgeving veranderen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. Conform</w:t>
      </w:r>
      <w:r w:rsidR="00557995" w:rsidRPr="00655D12">
        <w:rPr>
          <w:rFonts w:ascii="Verdana" w:hAnsi="Verdana"/>
          <w:b/>
          <w:bCs/>
          <w:sz w:val="22"/>
          <w:szCs w:val="22"/>
          <w:lang w:val="nl-BE"/>
        </w:rPr>
        <w:t>:</w:t>
      </w:r>
    </w:p>
    <w:p w14:paraId="0D2A4E88" w14:textId="0BAABDE2" w:rsidR="3F38D9C4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5"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>Verdrag inzake de rechten van personen met een handicap</w:t>
        </w:r>
      </w:hyperlink>
    </w:p>
    <w:p w14:paraId="4E89A1EC" w14:textId="30433735" w:rsidR="29452182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6"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>Aanbevelingen 2024 van de VN-deskundigen aan België</w:t>
        </w:r>
      </w:hyperlink>
    </w:p>
    <w:p w14:paraId="1AB0FE0D" w14:textId="4FAD861C" w:rsidR="3F38D9C4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7"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 xml:space="preserve">Advies en standpunten </w:t>
        </w:r>
        <w:r w:rsidR="005A6689" w:rsidRPr="00655D12">
          <w:rPr>
            <w:rStyle w:val="Hyperlink"/>
            <w:rFonts w:ascii="Verdana" w:hAnsi="Verdana"/>
            <w:sz w:val="22"/>
            <w:szCs w:val="22"/>
            <w:lang w:val="nl-BE"/>
          </w:rPr>
          <w:t xml:space="preserve">van </w:t>
        </w:r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>de</w:t>
        </w:r>
      </w:hyperlink>
      <w:r w:rsidRPr="00655D12">
        <w:rPr>
          <w:rFonts w:ascii="Verdana" w:hAnsi="Verdana"/>
          <w:sz w:val="22"/>
          <w:szCs w:val="22"/>
          <w:lang w:val="nl-BE"/>
        </w:rPr>
        <w:t xml:space="preserve">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</w:t>
      </w:r>
    </w:p>
    <w:p w14:paraId="7AF0913F" w14:textId="77777777" w:rsidR="00557995" w:rsidRPr="00655D12" w:rsidRDefault="00557995" w:rsidP="00557995">
      <w:pPr>
        <w:pStyle w:val="Lijstalinea"/>
        <w:ind w:left="2160"/>
        <w:rPr>
          <w:rFonts w:ascii="Verdana" w:hAnsi="Verdana"/>
          <w:sz w:val="22"/>
          <w:szCs w:val="22"/>
          <w:lang w:val="nl-BE"/>
        </w:rPr>
      </w:pPr>
    </w:p>
    <w:p w14:paraId="6F2AA5E9" w14:textId="58849F11" w:rsidR="435F2673" w:rsidRPr="00655D12" w:rsidRDefault="00557995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Via:</w:t>
      </w:r>
    </w:p>
    <w:p w14:paraId="3E31E0A8" w14:textId="77777777" w:rsidR="00557995" w:rsidRPr="00655D12" w:rsidRDefault="33F4399B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Universeel ontwerp: </w:t>
      </w:r>
      <w:r w:rsidR="529BFE28" w:rsidRPr="00655D12">
        <w:rPr>
          <w:rFonts w:ascii="Verdana" w:hAnsi="Verdana"/>
          <w:color w:val="000000" w:themeColor="text1"/>
          <w:sz w:val="22"/>
          <w:szCs w:val="22"/>
          <w:lang w:val="nl-BE"/>
        </w:rPr>
        <w:t>wat toegankelijk is voor personen met een handicap, is toegankelijk voor alle burgers.</w:t>
      </w:r>
    </w:p>
    <w:p w14:paraId="38761429" w14:textId="77777777" w:rsidR="00557995" w:rsidRPr="00655D12" w:rsidRDefault="00557995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Z</w:t>
      </w:r>
      <w:r w:rsidR="1E2ED62C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org ALTIJD voor niet-digitale alternatieven</w:t>
      </w:r>
      <w:r w:rsidR="0E1F747A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: </w:t>
      </w:r>
      <w:r w:rsidR="0E1F747A" w:rsidRPr="00655D12">
        <w:rPr>
          <w:rFonts w:ascii="Verdana" w:hAnsi="Verdana"/>
          <w:color w:val="000000" w:themeColor="text1"/>
          <w:sz w:val="22"/>
          <w:szCs w:val="22"/>
          <w:lang w:val="nl-BE"/>
        </w:rPr>
        <w:t>een loket met personeel (afspraak ter plaatse, contactcentrum dat alle dagen van de week bereikbaar is ...)</w:t>
      </w:r>
    </w:p>
    <w:p w14:paraId="6A6E03AE" w14:textId="09310413" w:rsidR="75419C05" w:rsidRPr="00655D12" w:rsidRDefault="75419C05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Werk samen met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en zijn deskundigen </w:t>
      </w:r>
    </w:p>
    <w:p w14:paraId="1B87688C" w14:textId="308BF98C" w:rsidR="75419C05" w:rsidRPr="00655D12" w:rsidRDefault="75419C05" w:rsidP="27E52978">
      <w:pPr>
        <w:pStyle w:val="Lijstalinea"/>
        <w:numPr>
          <w:ilvl w:val="3"/>
          <w:numId w:val="1"/>
        </w:numPr>
        <w:rPr>
          <w:rFonts w:ascii="Verdana" w:hAnsi="Verdana"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Vanaf het begin </w:t>
      </w:r>
      <w:r w:rsidR="00557995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van het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 overlegproces </w:t>
      </w:r>
    </w:p>
    <w:p w14:paraId="2DBED6CB" w14:textId="2F989DE4" w:rsidR="75419C05" w:rsidRPr="00655D12" w:rsidRDefault="75419C05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een advies vragen over een ontwerp-koninklijk besluit dat aan </w:t>
      </w:r>
      <w:r w:rsidR="51151FB4" w:rsidRPr="00655D12">
        <w:rPr>
          <w:rFonts w:ascii="Verdana" w:hAnsi="Verdana"/>
          <w:sz w:val="22"/>
          <w:szCs w:val="22"/>
          <w:lang w:val="nl-BE"/>
        </w:rPr>
        <w:t xml:space="preserve">de ministerraad </w:t>
      </w:r>
      <w:r w:rsidRPr="00655D12">
        <w:rPr>
          <w:rFonts w:ascii="Verdana" w:hAnsi="Verdana"/>
          <w:sz w:val="22"/>
          <w:szCs w:val="22"/>
          <w:lang w:val="nl-BE"/>
        </w:rPr>
        <w:t xml:space="preserve">wordt </w:t>
      </w:r>
      <w:r w:rsidR="2A029E12" w:rsidRPr="00655D12">
        <w:rPr>
          <w:rFonts w:ascii="Verdana" w:hAnsi="Verdana"/>
          <w:sz w:val="22"/>
          <w:szCs w:val="22"/>
          <w:lang w:val="nl-BE"/>
        </w:rPr>
        <w:t>voorgelegd</w:t>
      </w:r>
      <w:r w:rsidRPr="00655D12">
        <w:rPr>
          <w:rFonts w:ascii="Verdana" w:hAnsi="Verdana"/>
          <w:sz w:val="22"/>
          <w:szCs w:val="22"/>
          <w:lang w:val="nl-BE"/>
        </w:rPr>
        <w:t>, is te laat en onvolledig</w:t>
      </w:r>
      <w:r w:rsidR="59115A7E" w:rsidRPr="00655D12">
        <w:rPr>
          <w:rFonts w:ascii="Verdana" w:hAnsi="Verdana"/>
          <w:sz w:val="22"/>
          <w:szCs w:val="22"/>
          <w:lang w:val="nl-BE"/>
        </w:rPr>
        <w:t xml:space="preserve">! </w:t>
      </w:r>
    </w:p>
    <w:p w14:paraId="02B9ECEF" w14:textId="751606BA" w:rsidR="003F200C" w:rsidRPr="00655D12" w:rsidRDefault="003F200C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Deelname van het kabinet 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aan de </w:t>
      </w:r>
      <w:r w:rsidR="665B4623" w:rsidRPr="00655D12">
        <w:rPr>
          <w:rFonts w:ascii="Verdana" w:hAnsi="Verdana"/>
          <w:sz w:val="22"/>
          <w:szCs w:val="22"/>
          <w:lang w:val="nl-BE"/>
        </w:rPr>
        <w:t>maandelijkse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 plenaire vergadering </w:t>
      </w:r>
      <w:r w:rsidRPr="00655D12">
        <w:rPr>
          <w:rFonts w:ascii="Verdana" w:hAnsi="Verdana"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</w:p>
    <w:p w14:paraId="28BEB268" w14:textId="317DA8C1" w:rsidR="59115A7E" w:rsidRPr="00655D12" w:rsidRDefault="59115A7E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is geen technisch bureau, maar kan wel advies geven op basis van de problematiek </w:t>
      </w:r>
    </w:p>
    <w:p w14:paraId="0A9317A2" w14:textId="5C42954D" w:rsidR="78380746" w:rsidRPr="00655D12" w:rsidRDefault="78380746" w:rsidP="65964057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highlight w:val="yellow"/>
          <w:lang w:val="nl-BE"/>
        </w:rPr>
      </w:pP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Suggestie van de </w:t>
      </w:r>
      <w:r w:rsidR="004E68B6" w:rsidRPr="00655D12">
        <w:rPr>
          <w:rFonts w:ascii="Verdana" w:hAnsi="Verdana"/>
          <w:sz w:val="22"/>
          <w:szCs w:val="22"/>
          <w:highlight w:val="yellow"/>
          <w:lang w:val="nl-BE"/>
        </w:rPr>
        <w:t>NHRPH</w:t>
      </w: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: </w:t>
      </w:r>
      <w:r w:rsidR="00557995" w:rsidRPr="00655D12">
        <w:rPr>
          <w:rFonts w:ascii="Verdana" w:hAnsi="Verdana"/>
          <w:sz w:val="22"/>
          <w:szCs w:val="22"/>
          <w:highlight w:val="yellow"/>
          <w:lang w:val="nl-BE"/>
        </w:rPr>
        <w:t>systematische ontmoetingen.</w:t>
      </w:r>
    </w:p>
    <w:p w14:paraId="499E0750" w14:textId="2DC5439A" w:rsidR="03C930AB" w:rsidRPr="00655D12" w:rsidRDefault="03C930AB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kan vertrouwelijk werken</w:t>
      </w:r>
      <w:r w:rsidR="000478EE">
        <w:rPr>
          <w:rFonts w:ascii="Verdana" w:hAnsi="Verdana"/>
          <w:sz w:val="22"/>
          <w:szCs w:val="22"/>
          <w:lang w:val="nl-BE"/>
        </w:rPr>
        <w:t>. ( De uiteindelijke adviezen zelf worden uiteraard wel gepubliceerd.)</w:t>
      </w:r>
    </w:p>
    <w:p w14:paraId="277B1177" w14:textId="0ECCCD53" w:rsidR="03C930AB" w:rsidRPr="00655D12" w:rsidRDefault="03C930AB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fr-BE"/>
        </w:rPr>
      </w:pPr>
      <w:r w:rsidRPr="00655D12">
        <w:rPr>
          <w:rFonts w:ascii="Verdana" w:hAnsi="Verdana"/>
          <w:sz w:val="22"/>
          <w:szCs w:val="22"/>
          <w:lang w:val="fr-BE"/>
        </w:rPr>
        <w:t>= Win-</w:t>
      </w:r>
      <w:proofErr w:type="spellStart"/>
      <w:r w:rsidRPr="00655D12">
        <w:rPr>
          <w:rFonts w:ascii="Verdana" w:hAnsi="Verdana"/>
          <w:sz w:val="22"/>
          <w:szCs w:val="22"/>
          <w:lang w:val="fr-BE"/>
        </w:rPr>
        <w:t>win</w:t>
      </w:r>
      <w:proofErr w:type="spellEnd"/>
      <w:r w:rsidRPr="00655D12">
        <w:rPr>
          <w:rFonts w:ascii="Verdana" w:hAnsi="Verdana"/>
          <w:sz w:val="22"/>
          <w:szCs w:val="22"/>
          <w:lang w:val="fr-BE"/>
        </w:rPr>
        <w:t xml:space="preserve">! </w:t>
      </w:r>
    </w:p>
    <w:p w14:paraId="7F98EFEE" w14:textId="71031700" w:rsidR="45354444" w:rsidRPr="00655D12" w:rsidRDefault="000478EE" w:rsidP="27E52978">
      <w:pPr>
        <w:pStyle w:val="Lijstalinea"/>
        <w:numPr>
          <w:ilvl w:val="3"/>
          <w:numId w:val="1"/>
        </w:num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Adviesvragen </w:t>
      </w:r>
      <w:r w:rsidR="45354444" w:rsidRPr="00655D12">
        <w:rPr>
          <w:rFonts w:ascii="Verdana" w:hAnsi="Verdana"/>
          <w:sz w:val="22"/>
          <w:szCs w:val="22"/>
          <w:lang w:val="nl-BE"/>
        </w:rPr>
        <w:t xml:space="preserve">worden doorgegeven via </w:t>
      </w:r>
      <w:r w:rsidR="45354444"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voorzitter </w:t>
      </w:r>
      <w:r w:rsidR="3B0DEBC8"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</w:t>
      </w:r>
      <w:r w:rsidR="45354444" w:rsidRPr="00655D12">
        <w:rPr>
          <w:rFonts w:ascii="Verdana" w:hAnsi="Verdana"/>
          <w:b/>
          <w:bCs/>
          <w:sz w:val="22"/>
          <w:szCs w:val="22"/>
          <w:lang w:val="nl-BE"/>
        </w:rPr>
        <w:t>het secretariaat</w:t>
      </w:r>
    </w:p>
    <w:p w14:paraId="2E85A75E" w14:textId="77777777" w:rsidR="00EA1D3A" w:rsidRPr="00655D12" w:rsidRDefault="00EA1D3A" w:rsidP="00EA1D3A">
      <w:pPr>
        <w:ind w:left="720" w:hanging="360"/>
        <w:rPr>
          <w:rFonts w:ascii="Verdana" w:hAnsi="Verdana"/>
          <w:sz w:val="22"/>
          <w:szCs w:val="22"/>
          <w:lang w:val="nl-BE"/>
        </w:rPr>
      </w:pPr>
    </w:p>
    <w:p w14:paraId="587295AB" w14:textId="3E10BB59" w:rsidR="00EA1D3A" w:rsidRPr="00655D12" w:rsidRDefault="00EA1D3A" w:rsidP="00EA1D3A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2. Samenvatting van de aandachtspunten 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</w:p>
    <w:p w14:paraId="1E61D4C5" w14:textId="03D142A4" w:rsidR="00663684" w:rsidRDefault="00663684" w:rsidP="009C2D9A">
      <w:pPr>
        <w:pStyle w:val="Lijstalinea"/>
        <w:numPr>
          <w:ilvl w:val="0"/>
          <w:numId w:val="17"/>
        </w:numPr>
        <w:rPr>
          <w:rFonts w:ascii="Verdana" w:hAnsi="Verdana"/>
          <w:b/>
          <w:bCs/>
          <w:sz w:val="22"/>
          <w:szCs w:val="22"/>
          <w:lang w:val="nl-BE"/>
        </w:rPr>
      </w:pPr>
      <w:r>
        <w:rPr>
          <w:rFonts w:ascii="Verdana" w:hAnsi="Verdana"/>
          <w:b/>
          <w:bCs/>
          <w:sz w:val="22"/>
          <w:szCs w:val="22"/>
          <w:lang w:val="nl-BE"/>
        </w:rPr>
        <w:t>FINANCIEN</w:t>
      </w:r>
    </w:p>
    <w:p w14:paraId="3A8D5F6F" w14:textId="36F1C0E7" w:rsidR="00663684" w:rsidRPr="00663684" w:rsidRDefault="00663684" w:rsidP="00663684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Beschikbaarheid en toegankelijkheid van betaalautomaten</w:t>
      </w:r>
    </w:p>
    <w:p w14:paraId="0F0BB7A8" w14:textId="460BD691" w:rsidR="00663684" w:rsidRPr="00663684" w:rsidRDefault="00663684" w:rsidP="00663684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Toegankelijke betaalfaciliteiten in winkels en horeca (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touch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screens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 zijn niet toegankelijk voor blinde personen)</w:t>
      </w:r>
    </w:p>
    <w:p w14:paraId="3870072F" w14:textId="1801340B" w:rsidR="00663684" w:rsidRPr="00663684" w:rsidRDefault="00663684" w:rsidP="00663684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Baar geld als betaalmogelijkheid, ook bij het openbaar vervoer</w:t>
      </w:r>
    </w:p>
    <w:p w14:paraId="7DB8C5F8" w14:textId="77777777" w:rsidR="00663684" w:rsidRDefault="00663684" w:rsidP="00663684">
      <w:pPr>
        <w:pStyle w:val="Lijstalinea"/>
        <w:rPr>
          <w:rFonts w:ascii="Verdana" w:hAnsi="Verdana"/>
          <w:b/>
          <w:bCs/>
          <w:sz w:val="22"/>
          <w:szCs w:val="22"/>
          <w:lang w:val="nl-BE"/>
        </w:rPr>
      </w:pPr>
    </w:p>
    <w:p w14:paraId="7D0D2067" w14:textId="2A2C39F9" w:rsidR="00B5715C" w:rsidRPr="009C2D9A" w:rsidRDefault="009C2D9A" w:rsidP="009C2D9A">
      <w:pPr>
        <w:pStyle w:val="Lijstalinea"/>
        <w:numPr>
          <w:ilvl w:val="0"/>
          <w:numId w:val="17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9C2D9A">
        <w:rPr>
          <w:rFonts w:ascii="Verdana" w:hAnsi="Verdana"/>
          <w:b/>
          <w:bCs/>
          <w:sz w:val="22"/>
          <w:szCs w:val="22"/>
          <w:lang w:val="nl-BE"/>
        </w:rPr>
        <w:t>TEWERKSTELLING</w:t>
      </w:r>
      <w:r w:rsidR="00663684">
        <w:rPr>
          <w:rFonts w:ascii="Verdana" w:hAnsi="Verdana"/>
          <w:b/>
          <w:bCs/>
          <w:sz w:val="22"/>
          <w:szCs w:val="22"/>
          <w:lang w:val="nl-BE"/>
        </w:rPr>
        <w:t xml:space="preserve"> in de eigen diensten</w:t>
      </w:r>
    </w:p>
    <w:p w14:paraId="36B9BE87" w14:textId="5149B39B" w:rsidR="00B5715C" w:rsidRPr="00663684" w:rsidRDefault="00B5715C" w:rsidP="00663684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lastRenderedPageBreak/>
        <w:t xml:space="preserve">Voldoen aan het quotum van 3% voor tewerkstelling van personen met een handicap in de overheidsdiensten waarvoor u verantwoordelijk bent. </w:t>
      </w:r>
      <w:r w:rsidR="00BC76F6"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br/>
      </w:r>
    </w:p>
    <w:p w14:paraId="5AA3443E" w14:textId="70641D71" w:rsidR="00BC76F6" w:rsidRPr="009C2D9A" w:rsidRDefault="000478EE" w:rsidP="009C2D9A">
      <w:pPr>
        <w:pStyle w:val="Lijstalinea"/>
        <w:numPr>
          <w:ilvl w:val="0"/>
          <w:numId w:val="17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9C2D9A">
        <w:rPr>
          <w:rFonts w:ascii="Verdana" w:hAnsi="Verdana"/>
          <w:b/>
          <w:bCs/>
          <w:sz w:val="22"/>
          <w:szCs w:val="22"/>
          <w:lang w:val="nl-BE"/>
        </w:rPr>
        <w:t>T</w:t>
      </w:r>
      <w:r w:rsidR="009C2D9A">
        <w:rPr>
          <w:rFonts w:ascii="Verdana" w:hAnsi="Verdana"/>
          <w:b/>
          <w:bCs/>
          <w:sz w:val="22"/>
          <w:szCs w:val="22"/>
          <w:lang w:val="nl-BE"/>
        </w:rPr>
        <w:t>OEGANKELIJKHEID FEDERALE CULTURELE INSTELLINGEN</w:t>
      </w:r>
    </w:p>
    <w:p w14:paraId="4B6C2039" w14:textId="77777777" w:rsidR="00BC76F6" w:rsidRPr="00655D12" w:rsidRDefault="00BC76F6" w:rsidP="00B5715C">
      <w:pPr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</w:p>
    <w:p w14:paraId="1AC5C24C" w14:textId="400D55D9" w:rsidR="00B5715C" w:rsidRDefault="00B5715C" w:rsidP="00BC76F6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55D12">
        <w:rPr>
          <w:rFonts w:ascii="Verdana" w:eastAsia="Verdana" w:hAnsi="Verdana" w:cs="Verdana"/>
          <w:b/>
          <w:bCs/>
          <w:sz w:val="22"/>
          <w:szCs w:val="22"/>
          <w:lang w:val="nl-BE"/>
        </w:rPr>
        <w:t>Ondersteuning handicap: gebarentaal, tolken…</w:t>
      </w:r>
    </w:p>
    <w:p w14:paraId="3BA19C40" w14:textId="0FAB676A" w:rsidR="00663684" w:rsidRPr="00663684" w:rsidRDefault="00663684" w:rsidP="00BC76F6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>
        <w:rPr>
          <w:rFonts w:ascii="Verdana" w:eastAsia="Verdana" w:hAnsi="Verdana" w:cs="Verdana"/>
          <w:b/>
          <w:bCs/>
          <w:sz w:val="22"/>
          <w:szCs w:val="22"/>
          <w:lang w:val="nl-BE"/>
        </w:rPr>
        <w:t>t</w:t>
      </w: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oegankelijke informatie (braille, gebarentaal, easy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to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read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, …), gidsen, …</w:t>
      </w:r>
    </w:p>
    <w:p w14:paraId="08E9E028" w14:textId="25C8F8D1" w:rsidR="00BC76F6" w:rsidRDefault="000478EE" w:rsidP="00BC76F6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>
        <w:rPr>
          <w:rFonts w:ascii="Verdana" w:eastAsia="Verdana" w:hAnsi="Verdana" w:cs="Verdana"/>
          <w:b/>
          <w:bCs/>
          <w:sz w:val="22"/>
          <w:szCs w:val="22"/>
          <w:lang w:val="nl-BE"/>
        </w:rPr>
        <w:t>Fysieke toegankelijkheid, vaak in beschermde gebouwen/monumenten</w:t>
      </w:r>
    </w:p>
    <w:p w14:paraId="7F58EC1D" w14:textId="77777777" w:rsidR="00663684" w:rsidRDefault="00663684" w:rsidP="00BC76F6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</w:p>
    <w:p w14:paraId="2FBC5B39" w14:textId="7F748D17" w:rsidR="009C2D9A" w:rsidRPr="00655D12" w:rsidRDefault="009C2D9A" w:rsidP="00BC76F6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>
        <w:rPr>
          <w:rFonts w:ascii="Verdana" w:eastAsia="Verdana" w:hAnsi="Verdana" w:cs="Verdana"/>
          <w:b/>
          <w:bCs/>
          <w:sz w:val="22"/>
          <w:szCs w:val="22"/>
          <w:lang w:val="nl-BE"/>
        </w:rPr>
        <w:t>Zie ook MINISTER MATZ (gebouwenbeheer, Regie der Gebouwen)</w:t>
      </w:r>
    </w:p>
    <w:p w14:paraId="1486661B" w14:textId="77777777" w:rsidR="00BC76F6" w:rsidRPr="00655D12" w:rsidRDefault="00BC76F6" w:rsidP="00BC76F6">
      <w:pPr>
        <w:pStyle w:val="Lijstalinea"/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</w:p>
    <w:p w14:paraId="17B53CF9" w14:textId="29FE30CF" w:rsidR="00BC76F6" w:rsidRPr="00655D12" w:rsidRDefault="00BC76F6" w:rsidP="00B5715C">
      <w:pPr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</w:p>
    <w:p w14:paraId="1646626E" w14:textId="77777777" w:rsidR="00BC76F6" w:rsidRPr="00655D12" w:rsidRDefault="00BC76F6" w:rsidP="00B5715C">
      <w:pPr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</w:p>
    <w:p w14:paraId="3A61179D" w14:textId="17A34899" w:rsidR="00B5715C" w:rsidRPr="00AF14B0" w:rsidRDefault="00BC76F6" w:rsidP="00BC76F6">
      <w:pPr>
        <w:pStyle w:val="Lijstalinea"/>
        <w:numPr>
          <w:ilvl w:val="0"/>
          <w:numId w:val="12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AF14B0">
        <w:rPr>
          <w:rFonts w:ascii="Verdana" w:eastAsia="Verdana" w:hAnsi="Verdana" w:cs="Verdana"/>
          <w:b/>
          <w:bCs/>
          <w:sz w:val="22"/>
          <w:szCs w:val="22"/>
          <w:lang w:val="nl-BE"/>
        </w:rPr>
        <w:t>R</w:t>
      </w:r>
      <w:r w:rsidR="00B5715C" w:rsidRPr="00AF14B0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edelijke aanpassingen voorzien </w:t>
      </w:r>
    </w:p>
    <w:p w14:paraId="55F24C20" w14:textId="6E24CF6D" w:rsidR="00655D12" w:rsidRDefault="00655D12" w:rsidP="00655D12">
      <w:pPr>
        <w:tabs>
          <w:tab w:val="left" w:pos="1320"/>
        </w:tabs>
        <w:rPr>
          <w:rFonts w:ascii="Verdana" w:hAnsi="Verdana"/>
          <w:sz w:val="22"/>
          <w:szCs w:val="22"/>
          <w:lang w:val="nl-BE"/>
        </w:rPr>
      </w:pPr>
    </w:p>
    <w:p w14:paraId="64FE0D75" w14:textId="79D75D85" w:rsidR="00663684" w:rsidRPr="00663684" w:rsidRDefault="00663684" w:rsidP="009C2D9A">
      <w:pPr>
        <w:pStyle w:val="Lijstalinea"/>
        <w:numPr>
          <w:ilvl w:val="0"/>
          <w:numId w:val="17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63684">
        <w:rPr>
          <w:rFonts w:ascii="Verdana" w:hAnsi="Verdana"/>
          <w:b/>
          <w:bCs/>
          <w:sz w:val="22"/>
          <w:szCs w:val="22"/>
          <w:lang w:val="nl-BE"/>
        </w:rPr>
        <w:t>NATIONALE LOTERIJ</w:t>
      </w:r>
    </w:p>
    <w:p w14:paraId="08DFECB1" w14:textId="5539BF60" w:rsidR="00663684" w:rsidRPr="00663684" w:rsidRDefault="00663684" w:rsidP="00663684">
      <w:pPr>
        <w:pStyle w:val="Lijstalinea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Alle burgers in het algemeen en de Nationale Loterij en de federale culturele instellingen in het bijzonder sensibiliseren voor de handicapdimensie via campagnes,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jobdays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,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good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practices</w:t>
      </w:r>
      <w:proofErr w:type="spellEnd"/>
      <w:r w:rsidRPr="00663684">
        <w:rPr>
          <w:rFonts w:ascii="Verdana" w:eastAsia="Verdana" w:hAnsi="Verdana" w:cs="Verdana"/>
          <w:b/>
          <w:bCs/>
          <w:sz w:val="22"/>
          <w:szCs w:val="22"/>
          <w:lang w:val="nl-BE"/>
        </w:rPr>
        <w:t>, zelf het goede voorbeeld geven, subsidies toekennen bij voorkeur aan organisaties die zich inzetten voor personen met een handicap etc</w:t>
      </w:r>
      <w:r w:rsidR="00DA02C7">
        <w:rPr>
          <w:rFonts w:ascii="Verdana" w:eastAsia="Verdana" w:hAnsi="Verdana" w:cs="Verdana"/>
          <w:b/>
          <w:bCs/>
          <w:sz w:val="22"/>
          <w:szCs w:val="22"/>
          <w:lang w:val="nl-BE"/>
        </w:rPr>
        <w:t>.</w:t>
      </w:r>
    </w:p>
    <w:p w14:paraId="069E83C4" w14:textId="77777777" w:rsidR="00663684" w:rsidRPr="00663684" w:rsidRDefault="00663684" w:rsidP="00663684">
      <w:pPr>
        <w:pStyle w:val="Lijstalinea"/>
        <w:rPr>
          <w:rFonts w:ascii="Verdana" w:hAnsi="Verdana"/>
          <w:sz w:val="22"/>
          <w:szCs w:val="22"/>
          <w:lang w:val="nl-BE"/>
        </w:rPr>
      </w:pPr>
    </w:p>
    <w:p w14:paraId="06EE25D2" w14:textId="0157302D" w:rsidR="000478EE" w:rsidRPr="0064489E" w:rsidRDefault="000478EE" w:rsidP="009C2D9A">
      <w:pPr>
        <w:pStyle w:val="Lijstalinea"/>
        <w:numPr>
          <w:ilvl w:val="0"/>
          <w:numId w:val="17"/>
        </w:numPr>
        <w:rPr>
          <w:rFonts w:ascii="Verdana" w:hAnsi="Verdana"/>
          <w:sz w:val="22"/>
          <w:szCs w:val="22"/>
          <w:lang w:val="nl-BE"/>
        </w:rPr>
      </w:pPr>
      <w:r w:rsidRPr="009C2D9A">
        <w:rPr>
          <w:rFonts w:ascii="Verdana" w:hAnsi="Verdana"/>
          <w:b/>
          <w:bCs/>
          <w:sz w:val="22"/>
          <w:szCs w:val="22"/>
          <w:lang w:val="nl-BE"/>
        </w:rPr>
        <w:t>P</w:t>
      </w:r>
      <w:r w:rsidR="009C2D9A">
        <w:rPr>
          <w:rFonts w:ascii="Verdana" w:hAnsi="Verdana"/>
          <w:b/>
          <w:bCs/>
          <w:sz w:val="22"/>
          <w:szCs w:val="22"/>
          <w:lang w:val="nl-BE"/>
        </w:rPr>
        <w:t>ENSIOENEN</w:t>
      </w:r>
    </w:p>
    <w:p w14:paraId="03556C8D" w14:textId="77777777" w:rsidR="0064489E" w:rsidRDefault="0064489E" w:rsidP="0064489E">
      <w:pPr>
        <w:pStyle w:val="Lijstalinea"/>
        <w:rPr>
          <w:rFonts w:ascii="Verdana" w:hAnsi="Verdana"/>
          <w:sz w:val="22"/>
          <w:szCs w:val="22"/>
          <w:lang w:val="nl-BE"/>
        </w:rPr>
      </w:pPr>
    </w:p>
    <w:p w14:paraId="5214FA0F" w14:textId="2744E981" w:rsidR="009C2D9A" w:rsidRPr="00273813" w:rsidRDefault="00663684" w:rsidP="0064489E">
      <w:pPr>
        <w:pStyle w:val="Lijstalinea"/>
        <w:numPr>
          <w:ilvl w:val="0"/>
          <w:numId w:val="12"/>
        </w:numPr>
        <w:tabs>
          <w:tab w:val="left" w:pos="1320"/>
        </w:tabs>
        <w:rPr>
          <w:rFonts w:ascii="Verdana" w:hAnsi="Verdana"/>
          <w:b/>
          <w:bCs/>
          <w:sz w:val="22"/>
          <w:szCs w:val="22"/>
          <w:lang w:val="fr-BE"/>
        </w:rPr>
      </w:pPr>
      <w:proofErr w:type="spellStart"/>
      <w:r w:rsidRPr="00273813">
        <w:rPr>
          <w:rFonts w:ascii="Verdana" w:hAnsi="Verdana"/>
          <w:b/>
          <w:bCs/>
          <w:sz w:val="22"/>
          <w:szCs w:val="22"/>
          <w:lang w:val="fr-BE"/>
        </w:rPr>
        <w:t>Brugpensioen</w:t>
      </w:r>
      <w:proofErr w:type="spellEnd"/>
      <w:r w:rsidRPr="00273813">
        <w:rPr>
          <w:rFonts w:ascii="Verdana" w:hAnsi="Verdana"/>
          <w:b/>
          <w:bCs/>
          <w:sz w:val="22"/>
          <w:szCs w:val="22"/>
          <w:lang w:val="fr-BE"/>
        </w:rPr>
        <w:t xml:space="preserve"> en de </w:t>
      </w:r>
      <w:proofErr w:type="spellStart"/>
      <w:r w:rsidRPr="00273813">
        <w:rPr>
          <w:rFonts w:ascii="Verdana" w:hAnsi="Verdana"/>
          <w:b/>
          <w:bCs/>
          <w:sz w:val="22"/>
          <w:szCs w:val="22"/>
          <w:lang w:val="fr-BE"/>
        </w:rPr>
        <w:t>kwestie</w:t>
      </w:r>
      <w:proofErr w:type="spellEnd"/>
      <w:r w:rsidRPr="00273813">
        <w:rPr>
          <w:rFonts w:ascii="Verdana" w:hAnsi="Verdana"/>
          <w:b/>
          <w:bCs/>
          <w:sz w:val="22"/>
          <w:szCs w:val="22"/>
          <w:lang w:val="fr-BE"/>
        </w:rPr>
        <w:t xml:space="preserve"> van de</w:t>
      </w:r>
      <w:r w:rsidR="0064489E" w:rsidRPr="00273813">
        <w:rPr>
          <w:rFonts w:ascii="Verdana" w:hAnsi="Verdana"/>
          <w:b/>
          <w:bCs/>
          <w:sz w:val="22"/>
          <w:szCs w:val="22"/>
          <w:lang w:val="fr-BE"/>
        </w:rPr>
        <w:t xml:space="preserve"> bonus-malus</w:t>
      </w:r>
      <w:r w:rsidR="00273813">
        <w:rPr>
          <w:rFonts w:ascii="Verdana" w:hAnsi="Verdana"/>
          <w:b/>
          <w:bCs/>
          <w:sz w:val="22"/>
          <w:szCs w:val="22"/>
          <w:lang w:val="fr-BE"/>
        </w:rPr>
        <w:t xml:space="preserve"> : </w:t>
      </w:r>
      <w:r w:rsidR="00273813" w:rsidRPr="00273813">
        <w:rPr>
          <w:rFonts w:ascii="Verdana" w:hAnsi="Verdana"/>
          <w:b/>
          <w:bCs/>
          <w:sz w:val="22"/>
          <w:szCs w:val="22"/>
          <w:lang w:val="fr-BE"/>
        </w:rPr>
        <w:t xml:space="preserve"> carrières incomplète</w:t>
      </w:r>
      <w:r w:rsidR="00273813">
        <w:rPr>
          <w:rFonts w:ascii="Verdana" w:hAnsi="Verdana"/>
          <w:b/>
          <w:bCs/>
          <w:sz w:val="22"/>
          <w:szCs w:val="22"/>
          <w:lang w:val="fr-BE"/>
        </w:rPr>
        <w:t xml:space="preserve">s et irrégulières des PSH ; le plus grand nombre à l’emploi mais ne pas pénaliser les PSH qui font l’effort ! </w:t>
      </w:r>
    </w:p>
    <w:p w14:paraId="0F16CCA5" w14:textId="77777777" w:rsidR="00273813" w:rsidRPr="00273813" w:rsidRDefault="00273813" w:rsidP="00273813">
      <w:pPr>
        <w:tabs>
          <w:tab w:val="left" w:pos="1320"/>
        </w:tabs>
        <w:rPr>
          <w:rFonts w:ascii="Verdana" w:hAnsi="Verdana"/>
          <w:b/>
          <w:bCs/>
          <w:sz w:val="22"/>
          <w:szCs w:val="22"/>
          <w:lang w:val="fr-BE"/>
        </w:rPr>
      </w:pPr>
    </w:p>
    <w:p w14:paraId="6993B613" w14:textId="628EAAEB" w:rsidR="00273813" w:rsidRDefault="00273813" w:rsidP="00273813">
      <w:pPr>
        <w:pStyle w:val="Lijstalinea"/>
        <w:numPr>
          <w:ilvl w:val="0"/>
          <w:numId w:val="17"/>
        </w:numPr>
        <w:tabs>
          <w:tab w:val="left" w:pos="1320"/>
        </w:tabs>
        <w:rPr>
          <w:rFonts w:ascii="Verdana" w:hAnsi="Verdana"/>
          <w:b/>
          <w:bCs/>
          <w:sz w:val="22"/>
          <w:szCs w:val="22"/>
          <w:lang w:val="nl-BE"/>
        </w:rPr>
      </w:pPr>
      <w:r>
        <w:rPr>
          <w:rFonts w:ascii="Verdana" w:hAnsi="Verdana"/>
          <w:b/>
          <w:bCs/>
          <w:sz w:val="22"/>
          <w:szCs w:val="22"/>
          <w:lang w:val="nl-BE"/>
        </w:rPr>
        <w:t xml:space="preserve">FINANCES </w:t>
      </w:r>
    </w:p>
    <w:p w14:paraId="2C5110DD" w14:textId="5AC8678F" w:rsidR="00273813" w:rsidRPr="00273813" w:rsidRDefault="00273813" w:rsidP="00273813">
      <w:pPr>
        <w:tabs>
          <w:tab w:val="left" w:pos="1320"/>
        </w:tabs>
        <w:rPr>
          <w:rFonts w:ascii="Verdana" w:hAnsi="Verdana"/>
          <w:b/>
          <w:bCs/>
          <w:sz w:val="22"/>
          <w:szCs w:val="22"/>
          <w:lang w:val="fr-BE"/>
        </w:rPr>
      </w:pPr>
      <w:r w:rsidRPr="00DA02C7">
        <w:rPr>
          <w:rFonts w:ascii="Verdana" w:hAnsi="Verdana"/>
          <w:b/>
          <w:bCs/>
          <w:sz w:val="22"/>
          <w:szCs w:val="22"/>
          <w:lang w:val="fr-BE"/>
        </w:rPr>
        <w:tab/>
      </w:r>
      <w:r w:rsidRPr="00273813">
        <w:rPr>
          <w:rFonts w:ascii="Verdana" w:hAnsi="Verdana"/>
          <w:b/>
          <w:bCs/>
          <w:sz w:val="22"/>
          <w:szCs w:val="22"/>
          <w:lang w:val="fr-BE"/>
        </w:rPr>
        <w:t>Soutien aux associations : à minima m</w:t>
      </w:r>
      <w:r>
        <w:rPr>
          <w:rFonts w:ascii="Verdana" w:hAnsi="Verdana"/>
          <w:b/>
          <w:bCs/>
          <w:sz w:val="22"/>
          <w:szCs w:val="22"/>
          <w:lang w:val="fr-BE"/>
        </w:rPr>
        <w:t xml:space="preserve">aintenir la déductibilité actuelle de 40%, idéalement relever à 50% comme en période de COVID car les subsides vers les associations se réduisent. NB : en </w:t>
      </w:r>
      <w:r w:rsidR="00E244F0">
        <w:rPr>
          <w:rFonts w:ascii="Verdana" w:hAnsi="Verdana"/>
          <w:b/>
          <w:bCs/>
          <w:sz w:val="22"/>
          <w:szCs w:val="22"/>
          <w:lang w:val="fr-BE"/>
        </w:rPr>
        <w:t>France</w:t>
      </w:r>
      <w:r>
        <w:rPr>
          <w:rFonts w:ascii="Verdana" w:hAnsi="Verdana"/>
          <w:b/>
          <w:bCs/>
          <w:sz w:val="22"/>
          <w:szCs w:val="22"/>
          <w:lang w:val="fr-BE"/>
        </w:rPr>
        <w:t xml:space="preserve">, déductibilité de 80% </w:t>
      </w:r>
    </w:p>
    <w:sectPr w:rsidR="00273813" w:rsidRPr="0027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2568"/>
    <w:multiLevelType w:val="hybridMultilevel"/>
    <w:tmpl w:val="5B7E6B02"/>
    <w:lvl w:ilvl="0" w:tplc="B5FC3C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96B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0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9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C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0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210"/>
    <w:multiLevelType w:val="hybridMultilevel"/>
    <w:tmpl w:val="AADAE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24620"/>
    <w:multiLevelType w:val="hybridMultilevel"/>
    <w:tmpl w:val="D07A8818"/>
    <w:lvl w:ilvl="0" w:tplc="C35C421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6D06"/>
    <w:multiLevelType w:val="hybridMultilevel"/>
    <w:tmpl w:val="87B8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B653A"/>
    <w:multiLevelType w:val="hybridMultilevel"/>
    <w:tmpl w:val="3224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A68"/>
    <w:multiLevelType w:val="multilevel"/>
    <w:tmpl w:val="853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26DDA"/>
    <w:multiLevelType w:val="hybridMultilevel"/>
    <w:tmpl w:val="C7D83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E80"/>
    <w:multiLevelType w:val="hybridMultilevel"/>
    <w:tmpl w:val="C2246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454FF"/>
    <w:multiLevelType w:val="hybridMultilevel"/>
    <w:tmpl w:val="CD4E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F2C01"/>
    <w:multiLevelType w:val="hybridMultilevel"/>
    <w:tmpl w:val="7EA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5D8A"/>
    <w:multiLevelType w:val="hybridMultilevel"/>
    <w:tmpl w:val="88B4FE0A"/>
    <w:lvl w:ilvl="0" w:tplc="A2541C9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66B39"/>
    <w:multiLevelType w:val="hybridMultilevel"/>
    <w:tmpl w:val="886CFCEA"/>
    <w:lvl w:ilvl="0" w:tplc="21D09ED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0FCF"/>
    <w:multiLevelType w:val="hybridMultilevel"/>
    <w:tmpl w:val="FAD6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1D1"/>
    <w:multiLevelType w:val="hybridMultilevel"/>
    <w:tmpl w:val="52F84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51EED"/>
    <w:multiLevelType w:val="hybridMultilevel"/>
    <w:tmpl w:val="27EE52E8"/>
    <w:lvl w:ilvl="0" w:tplc="1CE87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A3644"/>
    <w:multiLevelType w:val="hybridMultilevel"/>
    <w:tmpl w:val="5CFC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013CE">
      <w:start w:val="3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290"/>
    <w:multiLevelType w:val="hybridMultilevel"/>
    <w:tmpl w:val="027A3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45F7C">
      <w:start w:val="2"/>
      <w:numFmt w:val="bullet"/>
      <w:lvlText w:val="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77643">
    <w:abstractNumId w:val="16"/>
  </w:num>
  <w:num w:numId="2" w16cid:durableId="1603029725">
    <w:abstractNumId w:val="10"/>
  </w:num>
  <w:num w:numId="3" w16cid:durableId="1356496186">
    <w:abstractNumId w:val="8"/>
  </w:num>
  <w:num w:numId="4" w16cid:durableId="262037883">
    <w:abstractNumId w:val="15"/>
  </w:num>
  <w:num w:numId="5" w16cid:durableId="816535479">
    <w:abstractNumId w:val="9"/>
  </w:num>
  <w:num w:numId="6" w16cid:durableId="1544444696">
    <w:abstractNumId w:val="12"/>
  </w:num>
  <w:num w:numId="7" w16cid:durableId="1980451271">
    <w:abstractNumId w:val="0"/>
  </w:num>
  <w:num w:numId="8" w16cid:durableId="541869665">
    <w:abstractNumId w:val="3"/>
  </w:num>
  <w:num w:numId="9" w16cid:durableId="184561102">
    <w:abstractNumId w:val="13"/>
  </w:num>
  <w:num w:numId="10" w16cid:durableId="658071876">
    <w:abstractNumId w:val="7"/>
  </w:num>
  <w:num w:numId="11" w16cid:durableId="1542282227">
    <w:abstractNumId w:val="4"/>
  </w:num>
  <w:num w:numId="12" w16cid:durableId="1343780239">
    <w:abstractNumId w:val="6"/>
  </w:num>
  <w:num w:numId="13" w16cid:durableId="1785492357">
    <w:abstractNumId w:val="1"/>
  </w:num>
  <w:num w:numId="14" w16cid:durableId="749540225">
    <w:abstractNumId w:val="2"/>
  </w:num>
  <w:num w:numId="15" w16cid:durableId="1774860164">
    <w:abstractNumId w:val="11"/>
  </w:num>
  <w:num w:numId="16" w16cid:durableId="1513567525">
    <w:abstractNumId w:val="5"/>
  </w:num>
  <w:num w:numId="17" w16cid:durableId="1100028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4"/>
    <w:rsid w:val="00007581"/>
    <w:rsid w:val="000478EE"/>
    <w:rsid w:val="000A2947"/>
    <w:rsid w:val="000A7923"/>
    <w:rsid w:val="00142348"/>
    <w:rsid w:val="00161970"/>
    <w:rsid w:val="001D0374"/>
    <w:rsid w:val="001D134C"/>
    <w:rsid w:val="00200159"/>
    <w:rsid w:val="00224068"/>
    <w:rsid w:val="002601DA"/>
    <w:rsid w:val="00273813"/>
    <w:rsid w:val="00337A50"/>
    <w:rsid w:val="00346910"/>
    <w:rsid w:val="0035401A"/>
    <w:rsid w:val="0036474D"/>
    <w:rsid w:val="00384BEA"/>
    <w:rsid w:val="003A6536"/>
    <w:rsid w:val="003B0F1E"/>
    <w:rsid w:val="003F200C"/>
    <w:rsid w:val="004E68B6"/>
    <w:rsid w:val="005166B6"/>
    <w:rsid w:val="0052395E"/>
    <w:rsid w:val="00531B4E"/>
    <w:rsid w:val="00544C55"/>
    <w:rsid w:val="00557995"/>
    <w:rsid w:val="005A0145"/>
    <w:rsid w:val="005A6689"/>
    <w:rsid w:val="005B42D1"/>
    <w:rsid w:val="005CD16B"/>
    <w:rsid w:val="0060420A"/>
    <w:rsid w:val="0064489E"/>
    <w:rsid w:val="006449A8"/>
    <w:rsid w:val="00655D12"/>
    <w:rsid w:val="00663684"/>
    <w:rsid w:val="00685674"/>
    <w:rsid w:val="006B4930"/>
    <w:rsid w:val="006F19A7"/>
    <w:rsid w:val="006F2D42"/>
    <w:rsid w:val="00791681"/>
    <w:rsid w:val="007973F5"/>
    <w:rsid w:val="007C1145"/>
    <w:rsid w:val="007E321E"/>
    <w:rsid w:val="00803AAC"/>
    <w:rsid w:val="0085216F"/>
    <w:rsid w:val="008B1898"/>
    <w:rsid w:val="008C5E95"/>
    <w:rsid w:val="008D5E63"/>
    <w:rsid w:val="008E05B2"/>
    <w:rsid w:val="00944B42"/>
    <w:rsid w:val="0095007D"/>
    <w:rsid w:val="009C2D9A"/>
    <w:rsid w:val="009C41F8"/>
    <w:rsid w:val="009F7470"/>
    <w:rsid w:val="00A24521"/>
    <w:rsid w:val="00AE0BED"/>
    <w:rsid w:val="00AE6E88"/>
    <w:rsid w:val="00AF14B0"/>
    <w:rsid w:val="00B17F38"/>
    <w:rsid w:val="00B21138"/>
    <w:rsid w:val="00B4160C"/>
    <w:rsid w:val="00B5715C"/>
    <w:rsid w:val="00B638A6"/>
    <w:rsid w:val="00B67051"/>
    <w:rsid w:val="00BB46B7"/>
    <w:rsid w:val="00BC76F6"/>
    <w:rsid w:val="00BD34C0"/>
    <w:rsid w:val="00BF5D58"/>
    <w:rsid w:val="00C00AE4"/>
    <w:rsid w:val="00CD075B"/>
    <w:rsid w:val="00D55001"/>
    <w:rsid w:val="00D65615"/>
    <w:rsid w:val="00D955C4"/>
    <w:rsid w:val="00DA02C7"/>
    <w:rsid w:val="00DE3D99"/>
    <w:rsid w:val="00DF70E6"/>
    <w:rsid w:val="00E244F0"/>
    <w:rsid w:val="00E24594"/>
    <w:rsid w:val="00E31397"/>
    <w:rsid w:val="00E51A37"/>
    <w:rsid w:val="00E940EE"/>
    <w:rsid w:val="00EA01C9"/>
    <w:rsid w:val="00EA1D3A"/>
    <w:rsid w:val="00EE7CE5"/>
    <w:rsid w:val="00F27550"/>
    <w:rsid w:val="00F43EEC"/>
    <w:rsid w:val="00F67A6A"/>
    <w:rsid w:val="00F717AB"/>
    <w:rsid w:val="0112C69F"/>
    <w:rsid w:val="0142E12B"/>
    <w:rsid w:val="01BFD33D"/>
    <w:rsid w:val="02850FBD"/>
    <w:rsid w:val="03C930AB"/>
    <w:rsid w:val="0441F3EA"/>
    <w:rsid w:val="04CCCB5D"/>
    <w:rsid w:val="052FD666"/>
    <w:rsid w:val="05897DB3"/>
    <w:rsid w:val="0697B457"/>
    <w:rsid w:val="06FF4280"/>
    <w:rsid w:val="08025AC4"/>
    <w:rsid w:val="086FFC6A"/>
    <w:rsid w:val="087A8C3C"/>
    <w:rsid w:val="08AB9CF5"/>
    <w:rsid w:val="0BAC9F0B"/>
    <w:rsid w:val="0BFAB7C7"/>
    <w:rsid w:val="0C442FFE"/>
    <w:rsid w:val="0C764D6F"/>
    <w:rsid w:val="0DB1A991"/>
    <w:rsid w:val="0E1F747A"/>
    <w:rsid w:val="0F588D91"/>
    <w:rsid w:val="11750E94"/>
    <w:rsid w:val="12402469"/>
    <w:rsid w:val="1267E187"/>
    <w:rsid w:val="146AED28"/>
    <w:rsid w:val="154BC4B1"/>
    <w:rsid w:val="15F7D1FE"/>
    <w:rsid w:val="161DEB02"/>
    <w:rsid w:val="17D9C17E"/>
    <w:rsid w:val="18271DD9"/>
    <w:rsid w:val="18A1C332"/>
    <w:rsid w:val="19536F1C"/>
    <w:rsid w:val="198DB7C6"/>
    <w:rsid w:val="1CCB53E5"/>
    <w:rsid w:val="1D5B9EA4"/>
    <w:rsid w:val="1D8DB276"/>
    <w:rsid w:val="1E2ED62C"/>
    <w:rsid w:val="211053D9"/>
    <w:rsid w:val="218DF5B9"/>
    <w:rsid w:val="21D5413B"/>
    <w:rsid w:val="2305B09B"/>
    <w:rsid w:val="2394585D"/>
    <w:rsid w:val="25FDCEA5"/>
    <w:rsid w:val="2618CD1A"/>
    <w:rsid w:val="27A0CC51"/>
    <w:rsid w:val="27E52978"/>
    <w:rsid w:val="29452182"/>
    <w:rsid w:val="2A029E12"/>
    <w:rsid w:val="2A383997"/>
    <w:rsid w:val="2B317720"/>
    <w:rsid w:val="2B652F0A"/>
    <w:rsid w:val="2C25301D"/>
    <w:rsid w:val="2CF4FFA4"/>
    <w:rsid w:val="2D5EC572"/>
    <w:rsid w:val="2D92C852"/>
    <w:rsid w:val="2E281324"/>
    <w:rsid w:val="2EE976C3"/>
    <w:rsid w:val="2F85496F"/>
    <w:rsid w:val="33D28FB0"/>
    <w:rsid w:val="33D7BCB7"/>
    <w:rsid w:val="33F4399B"/>
    <w:rsid w:val="3480D0D1"/>
    <w:rsid w:val="349E092E"/>
    <w:rsid w:val="3518DF1B"/>
    <w:rsid w:val="3544D04A"/>
    <w:rsid w:val="374641FE"/>
    <w:rsid w:val="39033718"/>
    <w:rsid w:val="3B0DEBC8"/>
    <w:rsid w:val="3B96E379"/>
    <w:rsid w:val="3F38D9C4"/>
    <w:rsid w:val="41BB87F7"/>
    <w:rsid w:val="42A1D077"/>
    <w:rsid w:val="42E42B26"/>
    <w:rsid w:val="435C6B5C"/>
    <w:rsid w:val="435F2673"/>
    <w:rsid w:val="45354444"/>
    <w:rsid w:val="454BEFA4"/>
    <w:rsid w:val="455D7FDA"/>
    <w:rsid w:val="465E0520"/>
    <w:rsid w:val="46718899"/>
    <w:rsid w:val="46D30C25"/>
    <w:rsid w:val="47725EBB"/>
    <w:rsid w:val="48D0A6F1"/>
    <w:rsid w:val="4A301251"/>
    <w:rsid w:val="4B2660A1"/>
    <w:rsid w:val="4BB8606E"/>
    <w:rsid w:val="4BBD8632"/>
    <w:rsid w:val="4D00F1C3"/>
    <w:rsid w:val="4E584FC0"/>
    <w:rsid w:val="4F0AD4AC"/>
    <w:rsid w:val="4FD97D97"/>
    <w:rsid w:val="506D722A"/>
    <w:rsid w:val="50B53318"/>
    <w:rsid w:val="50C30558"/>
    <w:rsid w:val="51151FB4"/>
    <w:rsid w:val="529BFE28"/>
    <w:rsid w:val="5329E7B1"/>
    <w:rsid w:val="53F4072D"/>
    <w:rsid w:val="54ED7D72"/>
    <w:rsid w:val="5584BD5E"/>
    <w:rsid w:val="56432A33"/>
    <w:rsid w:val="59115A7E"/>
    <w:rsid w:val="59FDAFD2"/>
    <w:rsid w:val="5A7E23E5"/>
    <w:rsid w:val="5AC0EA2D"/>
    <w:rsid w:val="5B6C44E9"/>
    <w:rsid w:val="5B943C97"/>
    <w:rsid w:val="5D03759C"/>
    <w:rsid w:val="5E0DA72E"/>
    <w:rsid w:val="5E699E40"/>
    <w:rsid w:val="5F84C184"/>
    <w:rsid w:val="6046C603"/>
    <w:rsid w:val="617A39BE"/>
    <w:rsid w:val="61B5D0C7"/>
    <w:rsid w:val="64954262"/>
    <w:rsid w:val="65964057"/>
    <w:rsid w:val="665B4623"/>
    <w:rsid w:val="6793F965"/>
    <w:rsid w:val="67C36EE2"/>
    <w:rsid w:val="69DDC17B"/>
    <w:rsid w:val="6A32DC20"/>
    <w:rsid w:val="6A587093"/>
    <w:rsid w:val="6E296A71"/>
    <w:rsid w:val="6F647D07"/>
    <w:rsid w:val="6FF39C27"/>
    <w:rsid w:val="7057A567"/>
    <w:rsid w:val="70A9D2D7"/>
    <w:rsid w:val="716655EF"/>
    <w:rsid w:val="7210BECE"/>
    <w:rsid w:val="72525E2D"/>
    <w:rsid w:val="731F11A7"/>
    <w:rsid w:val="743CA44C"/>
    <w:rsid w:val="74A6BFFC"/>
    <w:rsid w:val="75419C05"/>
    <w:rsid w:val="767DFE5A"/>
    <w:rsid w:val="76857D41"/>
    <w:rsid w:val="769C0EB8"/>
    <w:rsid w:val="778E5B57"/>
    <w:rsid w:val="780149D0"/>
    <w:rsid w:val="78380746"/>
    <w:rsid w:val="792AC630"/>
    <w:rsid w:val="7946C81C"/>
    <w:rsid w:val="798ED94E"/>
    <w:rsid w:val="7A3B7FA0"/>
    <w:rsid w:val="7ADBFC69"/>
    <w:rsid w:val="7BECAD94"/>
    <w:rsid w:val="7C93C68F"/>
    <w:rsid w:val="7CFC18F7"/>
    <w:rsid w:val="7E4AC9CB"/>
    <w:rsid w:val="7E7489BF"/>
    <w:rsid w:val="7F07851F"/>
    <w:rsid w:val="7F5277DC"/>
    <w:rsid w:val="7FED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6B6"/>
  <w15:chartTrackingRefBased/>
  <w15:docId w15:val="{2D46BBD3-661D-4C67-88BA-CEFD3DB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55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55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55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55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55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55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55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55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55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55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55C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D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27E52978"/>
    <w:rPr>
      <w:color w:val="467886"/>
      <w:u w:val="single"/>
    </w:rPr>
  </w:style>
  <w:style w:type="paragraph" w:styleId="Revisie">
    <w:name w:val="Revision"/>
    <w:hidden/>
    <w:uiPriority w:val="99"/>
    <w:semiHidden/>
    <w:rsid w:val="005A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.belgium.be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fr/instruments-mechanisms/instruments/convention-rights-persons-disabilities" TargetMode="External"/><Relationship Id="rId5" Type="http://schemas.openxmlformats.org/officeDocument/2006/relationships/hyperlink" Target="https://www.ohchr.org/fr/instruments-mechanisms/instruments/convention-rights-persons-disabili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>, docId:2009D032EE1E867D9CD97F178CAADBC6</cp:keywords>
  <dc:description/>
  <cp:lastModifiedBy>Laureys Benjamin</cp:lastModifiedBy>
  <cp:revision>8</cp:revision>
  <dcterms:created xsi:type="dcterms:W3CDTF">2025-09-10T07:44:00Z</dcterms:created>
  <dcterms:modified xsi:type="dcterms:W3CDTF">2025-09-11T10:11:00Z</dcterms:modified>
</cp:coreProperties>
</file>