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4BA8" w14:textId="3F410D85" w:rsidR="00C00AE4" w:rsidRPr="000D1DD9" w:rsidRDefault="00C00AE4" w:rsidP="006F2D42">
      <w:pPr>
        <w:pBdr>
          <w:top w:val="single" w:sz="4" w:space="1" w:color="auto"/>
          <w:left w:val="single" w:sz="4" w:space="4" w:color="auto"/>
          <w:bottom w:val="single" w:sz="4" w:space="1" w:color="auto"/>
          <w:right w:val="single" w:sz="4" w:space="4" w:color="auto"/>
        </w:pBdr>
        <w:ind w:left="720" w:hanging="360"/>
        <w:rPr>
          <w:rFonts w:ascii="Verdana" w:hAnsi="Verdana"/>
          <w:sz w:val="22"/>
          <w:szCs w:val="22"/>
          <w:lang w:val="fr-BE"/>
        </w:rPr>
      </w:pPr>
      <w:r w:rsidRPr="000D1DD9">
        <w:rPr>
          <w:rFonts w:ascii="Verdana" w:hAnsi="Verdana"/>
          <w:sz w:val="22"/>
          <w:szCs w:val="22"/>
          <w:lang w:val="fr-BE"/>
        </w:rPr>
        <w:t xml:space="preserve">RENCONTRE AVEC LA MINISTRE </w:t>
      </w:r>
      <w:proofErr w:type="spellStart"/>
      <w:r w:rsidR="006F2D42" w:rsidRPr="000D1DD9">
        <w:rPr>
          <w:rFonts w:ascii="Verdana" w:hAnsi="Verdana"/>
          <w:sz w:val="22"/>
          <w:szCs w:val="22"/>
          <w:lang w:val="fr-BE"/>
        </w:rPr>
        <w:t>Annelies</w:t>
      </w:r>
      <w:proofErr w:type="spellEnd"/>
      <w:r w:rsidR="006F2D42" w:rsidRPr="000D1DD9">
        <w:rPr>
          <w:rFonts w:ascii="Verdana" w:hAnsi="Verdana"/>
          <w:sz w:val="22"/>
          <w:szCs w:val="22"/>
          <w:lang w:val="fr-BE"/>
        </w:rPr>
        <w:t xml:space="preserve"> VERLINDEN octobre</w:t>
      </w:r>
      <w:r w:rsidRPr="000D1DD9">
        <w:rPr>
          <w:rFonts w:ascii="Verdana" w:hAnsi="Verdana"/>
          <w:sz w:val="22"/>
          <w:szCs w:val="22"/>
          <w:lang w:val="fr-BE"/>
        </w:rPr>
        <w:t xml:space="preserve"> 2025 </w:t>
      </w:r>
    </w:p>
    <w:p w14:paraId="03699CF8" w14:textId="77777777" w:rsidR="000D1DD9" w:rsidRPr="000D1DD9" w:rsidRDefault="000D1DD9" w:rsidP="006F2D42">
      <w:pPr>
        <w:pStyle w:val="Normaalweb"/>
        <w:shd w:val="clear" w:color="auto" w:fill="FBFBFB"/>
        <w:rPr>
          <w:rFonts w:ascii="Verdana" w:hAnsi="Verdana"/>
          <w:b/>
          <w:bCs/>
          <w:color w:val="FF0000"/>
          <w:sz w:val="30"/>
          <w:szCs w:val="30"/>
          <w:lang w:val="fr-BE"/>
        </w:rPr>
      </w:pPr>
    </w:p>
    <w:p w14:paraId="1F224AAF" w14:textId="5FA621C0" w:rsidR="000D1DD9" w:rsidRPr="000D1DD9" w:rsidRDefault="000D1DD9" w:rsidP="006F2D42">
      <w:pPr>
        <w:pStyle w:val="Normaalweb"/>
        <w:shd w:val="clear" w:color="auto" w:fill="FBFBFB"/>
        <w:rPr>
          <w:rFonts w:ascii="Verdana" w:hAnsi="Verdana"/>
          <w:b/>
          <w:bCs/>
          <w:color w:val="FF0000"/>
          <w:sz w:val="30"/>
          <w:szCs w:val="30"/>
          <w:lang w:val="fr-BE"/>
        </w:rPr>
      </w:pPr>
      <w:r w:rsidRPr="000D1DD9">
        <w:rPr>
          <w:rFonts w:ascii="Verdana" w:hAnsi="Verdana"/>
          <w:b/>
          <w:bCs/>
          <w:color w:val="FF0000"/>
          <w:sz w:val="30"/>
          <w:szCs w:val="30"/>
          <w:lang w:val="fr-BE"/>
        </w:rPr>
        <w:t>TRADUIT PAR DEEPL SANS RELECTURE</w:t>
      </w:r>
    </w:p>
    <w:p w14:paraId="613C4168" w14:textId="77777777" w:rsidR="000D1DD9" w:rsidRDefault="000D1DD9" w:rsidP="006F2D42">
      <w:pPr>
        <w:pStyle w:val="Normaalweb"/>
        <w:shd w:val="clear" w:color="auto" w:fill="FBFBFB"/>
        <w:rPr>
          <w:rFonts w:ascii="Verdana" w:hAnsi="Verdana"/>
          <w:color w:val="282828"/>
          <w:sz w:val="22"/>
          <w:szCs w:val="22"/>
          <w:lang w:val="fr-BE"/>
        </w:rPr>
      </w:pPr>
    </w:p>
    <w:p w14:paraId="2D3C3CAA" w14:textId="1E5788A8" w:rsidR="006F2D42" w:rsidRPr="000D1DD9" w:rsidRDefault="006F2D42" w:rsidP="006F2D42">
      <w:pPr>
        <w:pStyle w:val="Normaalweb"/>
        <w:shd w:val="clear" w:color="auto" w:fill="FBFBFB"/>
        <w:rPr>
          <w:rFonts w:ascii="Verdana" w:hAnsi="Verdana"/>
          <w:color w:val="282828"/>
          <w:sz w:val="22"/>
          <w:szCs w:val="22"/>
          <w:lang w:val="fr-BE"/>
        </w:rPr>
      </w:pPr>
      <w:r w:rsidRPr="000D1DD9">
        <w:rPr>
          <w:rFonts w:ascii="Verdana" w:hAnsi="Verdana"/>
          <w:color w:val="282828"/>
          <w:sz w:val="22"/>
          <w:szCs w:val="22"/>
          <w:lang w:val="fr-BE"/>
        </w:rPr>
        <w:t xml:space="preserve">Mme </w:t>
      </w:r>
      <w:proofErr w:type="spellStart"/>
      <w:r w:rsidRPr="000D1DD9">
        <w:rPr>
          <w:rFonts w:ascii="Verdana" w:hAnsi="Verdana"/>
          <w:color w:val="282828"/>
          <w:sz w:val="22"/>
          <w:szCs w:val="22"/>
          <w:lang w:val="fr-BE"/>
        </w:rPr>
        <w:t>Annelies</w:t>
      </w:r>
      <w:proofErr w:type="spellEnd"/>
      <w:r w:rsidRPr="000D1DD9">
        <w:rPr>
          <w:rFonts w:ascii="Verdana" w:hAnsi="Verdana"/>
          <w:color w:val="282828"/>
          <w:sz w:val="22"/>
          <w:szCs w:val="22"/>
          <w:lang w:val="fr-BE"/>
        </w:rPr>
        <w:t xml:space="preserve"> Verlinden, </w:t>
      </w:r>
      <w:proofErr w:type="spellStart"/>
      <w:r w:rsidRPr="000D1DD9">
        <w:rPr>
          <w:rFonts w:ascii="Verdana" w:hAnsi="Verdana"/>
          <w:color w:val="282828"/>
          <w:sz w:val="22"/>
          <w:szCs w:val="22"/>
          <w:lang w:val="fr-BE"/>
        </w:rPr>
        <w:t>CD&amp;amp;V</w:t>
      </w:r>
      <w:proofErr w:type="spellEnd"/>
      <w:r w:rsidRPr="000D1DD9">
        <w:rPr>
          <w:rFonts w:ascii="Verdana" w:hAnsi="Verdana"/>
          <w:color w:val="282828"/>
          <w:sz w:val="22"/>
          <w:szCs w:val="22"/>
          <w:lang w:val="fr-BE"/>
        </w:rPr>
        <w:t>, ministre de la Justice, chargée de la Mer du Nord</w:t>
      </w:r>
    </w:p>
    <w:p w14:paraId="1F6118C4" w14:textId="47E5F298" w:rsidR="00C00AE4" w:rsidRPr="000D1DD9" w:rsidRDefault="006F2D42" w:rsidP="006F2D42">
      <w:pPr>
        <w:pStyle w:val="Normaalweb"/>
        <w:shd w:val="clear" w:color="auto" w:fill="FBFBFB"/>
        <w:rPr>
          <w:rFonts w:ascii="Verdana" w:hAnsi="Verdana"/>
          <w:color w:val="282828"/>
          <w:sz w:val="22"/>
          <w:szCs w:val="22"/>
          <w:lang w:val="fr-BE"/>
        </w:rPr>
      </w:pPr>
      <w:r w:rsidRPr="000D1DD9">
        <w:rPr>
          <w:rFonts w:ascii="Verdana" w:hAnsi="Verdana"/>
          <w:color w:val="282828"/>
          <w:sz w:val="22"/>
          <w:szCs w:val="22"/>
          <w:lang w:val="fr-BE"/>
        </w:rPr>
        <w:t>Compétence pour le Service public fédéral Justice (le droit pénal social et le droit des sociétés font partie du SPF Justice) et le Service Égalité des chances du Service public fédéral Justice : compétence partagée avec le ministre de l'Égalité des chances</w:t>
      </w:r>
    </w:p>
    <w:p w14:paraId="1566537B" w14:textId="77777777" w:rsidR="006F2D42" w:rsidRPr="000D1DD9" w:rsidRDefault="006F2D42" w:rsidP="00C00AE4">
      <w:pPr>
        <w:pStyle w:val="Normaalweb"/>
        <w:shd w:val="clear" w:color="auto" w:fill="FBFBFB"/>
        <w:rPr>
          <w:rFonts w:ascii="Verdana" w:hAnsi="Verdana" w:cs="Arial"/>
          <w:sz w:val="22"/>
          <w:szCs w:val="22"/>
          <w:lang w:val="fr-BE"/>
        </w:rPr>
      </w:pPr>
    </w:p>
    <w:p w14:paraId="4FABC145" w14:textId="2F039D40" w:rsidR="00B638A6" w:rsidRPr="00655D12" w:rsidRDefault="006F2D42" w:rsidP="00B638A6">
      <w:pPr>
        <w:pStyle w:val="Lijstalinea"/>
        <w:numPr>
          <w:ilvl w:val="0"/>
          <w:numId w:val="3"/>
        </w:numPr>
        <w:pBdr>
          <w:top w:val="single" w:sz="4" w:space="1" w:color="auto"/>
          <w:left w:val="single" w:sz="4" w:space="4" w:color="auto"/>
          <w:bottom w:val="single" w:sz="4" w:space="1" w:color="auto"/>
          <w:right w:val="single" w:sz="4" w:space="4" w:color="auto"/>
        </w:pBdr>
        <w:rPr>
          <w:rFonts w:ascii="Verdana" w:hAnsi="Verdana"/>
          <w:b/>
          <w:bCs/>
          <w:sz w:val="22"/>
          <w:szCs w:val="22"/>
          <w:lang w:val="fr-BE"/>
        </w:rPr>
      </w:pPr>
      <w:bookmarkStart w:id="0" w:name="_Hlk205824947"/>
      <w:r w:rsidRPr="00655D12">
        <w:rPr>
          <w:rFonts w:ascii="Verdana" w:hAnsi="Verdana"/>
          <w:b/>
          <w:bCs/>
          <w:sz w:val="22"/>
          <w:szCs w:val="22"/>
          <w:lang w:val="fr-BE"/>
        </w:rPr>
        <w:t>Introduction</w:t>
      </w:r>
    </w:p>
    <w:bookmarkEnd w:id="0"/>
    <w:p w14:paraId="206C0C13" w14:textId="77777777" w:rsidR="006F19A7" w:rsidRPr="00655D12" w:rsidRDefault="006F19A7" w:rsidP="27E52978">
      <w:pPr>
        <w:pStyle w:val="Lijstalinea"/>
        <w:rPr>
          <w:rFonts w:ascii="Verdana" w:hAnsi="Verdana"/>
          <w:b/>
          <w:bCs/>
          <w:color w:val="FF0000"/>
          <w:sz w:val="22"/>
          <w:szCs w:val="22"/>
          <w:lang w:val="fr-BE"/>
        </w:rPr>
      </w:pPr>
    </w:p>
    <w:p w14:paraId="735353B1" w14:textId="77777777" w:rsidR="00F717AB" w:rsidRPr="00655D12" w:rsidRDefault="00F717AB" w:rsidP="00F717AB">
      <w:pPr>
        <w:pStyle w:val="Lijstalinea"/>
        <w:rPr>
          <w:rFonts w:ascii="Verdana" w:hAnsi="Verdana"/>
          <w:b/>
          <w:bCs/>
          <w:color w:val="FF0000"/>
          <w:sz w:val="22"/>
          <w:szCs w:val="22"/>
          <w:lang w:val="fr-BE"/>
        </w:rPr>
      </w:pPr>
    </w:p>
    <w:p w14:paraId="0473AFF8" w14:textId="22BACCE6" w:rsidR="00224068" w:rsidRPr="000D1DD9" w:rsidRDefault="743CA44C" w:rsidP="27E52978">
      <w:pPr>
        <w:pStyle w:val="Lijstalinea"/>
        <w:numPr>
          <w:ilvl w:val="0"/>
          <w:numId w:val="1"/>
        </w:numPr>
        <w:rPr>
          <w:rFonts w:ascii="Verdana" w:hAnsi="Verdana"/>
          <w:b/>
          <w:bCs/>
          <w:color w:val="FF0000"/>
          <w:sz w:val="22"/>
          <w:szCs w:val="22"/>
          <w:lang w:val="fr-BE"/>
        </w:rPr>
      </w:pPr>
      <w:r w:rsidRPr="000D1DD9">
        <w:rPr>
          <w:rFonts w:ascii="Verdana" w:hAnsi="Verdana"/>
          <w:b/>
          <w:bCs/>
          <w:color w:val="FF0000"/>
          <w:sz w:val="22"/>
          <w:szCs w:val="22"/>
          <w:lang w:val="fr-BE"/>
        </w:rPr>
        <w:t xml:space="preserve">Personnes handicapées </w:t>
      </w:r>
      <w:r w:rsidR="161DEB02" w:rsidRPr="000D1DD9">
        <w:rPr>
          <w:rFonts w:ascii="Verdana" w:hAnsi="Verdana"/>
          <w:b/>
          <w:bCs/>
          <w:color w:val="FF0000"/>
          <w:sz w:val="22"/>
          <w:szCs w:val="22"/>
          <w:lang w:val="fr-BE"/>
        </w:rPr>
        <w:t xml:space="preserve">: définition et champ d'application </w:t>
      </w:r>
    </w:p>
    <w:p w14:paraId="0DD6528C" w14:textId="77777777" w:rsidR="006F2D42" w:rsidRPr="000D1DD9" w:rsidRDefault="006F2D42" w:rsidP="006F2D42">
      <w:pPr>
        <w:pStyle w:val="Lijstalinea"/>
        <w:rPr>
          <w:rFonts w:ascii="Verdana" w:hAnsi="Verdana"/>
          <w:b/>
          <w:bCs/>
          <w:color w:val="FF0000"/>
          <w:sz w:val="22"/>
          <w:szCs w:val="22"/>
          <w:lang w:val="fr-BE"/>
        </w:rPr>
      </w:pPr>
    </w:p>
    <w:p w14:paraId="71E50630" w14:textId="34302B9D" w:rsidR="00224068" w:rsidRPr="000D1DD9" w:rsidRDefault="743CA44C" w:rsidP="00224068">
      <w:pPr>
        <w:pStyle w:val="Lijstalinea"/>
        <w:numPr>
          <w:ilvl w:val="1"/>
          <w:numId w:val="1"/>
        </w:numPr>
        <w:rPr>
          <w:rFonts w:ascii="Verdana" w:hAnsi="Verdana"/>
          <w:sz w:val="22"/>
          <w:szCs w:val="22"/>
          <w:lang w:val="fr-BE"/>
        </w:rPr>
      </w:pPr>
      <w:r w:rsidRPr="000D1DD9">
        <w:rPr>
          <w:rFonts w:ascii="Verdana" w:hAnsi="Verdana"/>
          <w:sz w:val="22"/>
          <w:szCs w:val="22"/>
          <w:lang w:val="fr-BE"/>
        </w:rPr>
        <w:t xml:space="preserve">Différentes catégories </w:t>
      </w:r>
      <w:r w:rsidR="003F200C" w:rsidRPr="000D1DD9">
        <w:rPr>
          <w:rFonts w:ascii="Verdana" w:hAnsi="Verdana"/>
          <w:sz w:val="22"/>
          <w:szCs w:val="22"/>
          <w:lang w:val="fr-BE"/>
        </w:rPr>
        <w:t xml:space="preserve">(physique, sensorielle, intellectuelle, mentale...) </w:t>
      </w:r>
      <w:r w:rsidR="4E584FC0" w:rsidRPr="000D1DD9">
        <w:rPr>
          <w:rFonts w:ascii="Verdana" w:hAnsi="Verdana"/>
          <w:sz w:val="22"/>
          <w:szCs w:val="22"/>
          <w:lang w:val="fr-BE"/>
        </w:rPr>
        <w:t>- 80 % = handicap invisible</w:t>
      </w:r>
      <w:r w:rsidR="004E68B6" w:rsidRPr="00655D12">
        <w:rPr>
          <w:rFonts w:ascii="Verdana" w:hAnsi="Verdana"/>
          <w:sz w:val="22"/>
          <w:szCs w:val="22"/>
          <w:lang w:val="nl-BE"/>
        </w:rPr>
        <w:sym w:font="Wingdings" w:char="F0E8"/>
      </w:r>
      <w:r w:rsidR="4B2660A1" w:rsidRPr="000D1DD9">
        <w:rPr>
          <w:rFonts w:ascii="Verdana" w:hAnsi="Verdana"/>
          <w:sz w:val="22"/>
          <w:szCs w:val="22"/>
          <w:lang w:val="fr-BE"/>
        </w:rPr>
        <w:t xml:space="preserve"> 15 % de la population + familles</w:t>
      </w:r>
    </w:p>
    <w:p w14:paraId="149E2ED1" w14:textId="4DB5F2CA" w:rsidR="04CCCB5D" w:rsidRPr="00655D12" w:rsidRDefault="04CCCB5D" w:rsidP="27E52978">
      <w:pPr>
        <w:pStyle w:val="Lijstalinea"/>
        <w:numPr>
          <w:ilvl w:val="1"/>
          <w:numId w:val="1"/>
        </w:numPr>
        <w:rPr>
          <w:rFonts w:ascii="Verdana" w:hAnsi="Verdana"/>
          <w:b/>
          <w:bCs/>
          <w:sz w:val="22"/>
          <w:szCs w:val="22"/>
          <w:lang w:val="fr-BE"/>
        </w:rPr>
      </w:pPr>
      <w:r w:rsidRPr="00655D12">
        <w:rPr>
          <w:rFonts w:ascii="Verdana" w:hAnsi="Verdana"/>
          <w:b/>
          <w:bCs/>
          <w:sz w:val="22"/>
          <w:szCs w:val="22"/>
          <w:lang w:val="fr-BE"/>
        </w:rPr>
        <w:t xml:space="preserve">Peu de statistiques et de données </w:t>
      </w:r>
    </w:p>
    <w:p w14:paraId="38DEA172" w14:textId="18084FFA" w:rsidR="4E584FC0" w:rsidRPr="000D1DD9" w:rsidRDefault="4E584FC0" w:rsidP="27E52978">
      <w:pPr>
        <w:pStyle w:val="Lijstalinea"/>
        <w:numPr>
          <w:ilvl w:val="1"/>
          <w:numId w:val="1"/>
        </w:numPr>
        <w:rPr>
          <w:rFonts w:ascii="Verdana" w:hAnsi="Verdana"/>
          <w:sz w:val="22"/>
          <w:szCs w:val="22"/>
          <w:lang w:val="fr-BE"/>
        </w:rPr>
      </w:pPr>
      <w:r w:rsidRPr="000D1DD9">
        <w:rPr>
          <w:rFonts w:ascii="Verdana" w:hAnsi="Verdana"/>
          <w:sz w:val="22"/>
          <w:szCs w:val="22"/>
          <w:lang w:val="fr-BE"/>
        </w:rPr>
        <w:t xml:space="preserve">Handicap = perte de droits et exclusion de la société  </w:t>
      </w:r>
    </w:p>
    <w:p w14:paraId="3109ED47" w14:textId="5939CB23" w:rsidR="00224068" w:rsidRPr="000D1DD9" w:rsidRDefault="743CA44C" w:rsidP="00224068">
      <w:pPr>
        <w:pStyle w:val="Lijstalinea"/>
        <w:numPr>
          <w:ilvl w:val="1"/>
          <w:numId w:val="1"/>
        </w:numPr>
        <w:rPr>
          <w:rFonts w:ascii="Verdana" w:hAnsi="Verdana"/>
          <w:sz w:val="22"/>
          <w:szCs w:val="22"/>
          <w:lang w:val="fr-BE"/>
        </w:rPr>
      </w:pPr>
      <w:r w:rsidRPr="000D1DD9">
        <w:rPr>
          <w:rFonts w:ascii="Verdana" w:hAnsi="Verdana"/>
          <w:sz w:val="22"/>
          <w:szCs w:val="22"/>
          <w:lang w:val="fr-BE"/>
        </w:rPr>
        <w:t xml:space="preserve">Un handicap </w:t>
      </w:r>
      <w:r w:rsidR="4FD97D97" w:rsidRPr="000D1DD9">
        <w:rPr>
          <w:rFonts w:ascii="Verdana" w:hAnsi="Verdana"/>
          <w:sz w:val="22"/>
          <w:szCs w:val="22"/>
          <w:lang w:val="fr-BE"/>
        </w:rPr>
        <w:t xml:space="preserve">est une particularité ; il </w:t>
      </w:r>
      <w:r w:rsidR="5D03759C" w:rsidRPr="000D1DD9">
        <w:rPr>
          <w:rFonts w:ascii="Verdana" w:hAnsi="Verdana"/>
          <w:sz w:val="22"/>
          <w:szCs w:val="22"/>
          <w:lang w:val="fr-BE"/>
        </w:rPr>
        <w:t xml:space="preserve">devient un problème lorsque </w:t>
      </w:r>
      <w:r w:rsidR="5D03759C" w:rsidRPr="000D1DD9">
        <w:rPr>
          <w:rFonts w:ascii="Verdana" w:hAnsi="Verdana"/>
          <w:b/>
          <w:bCs/>
          <w:sz w:val="22"/>
          <w:szCs w:val="22"/>
          <w:lang w:val="fr-BE"/>
        </w:rPr>
        <w:t xml:space="preserve">l'environnement n'est pas adapté </w:t>
      </w:r>
    </w:p>
    <w:p w14:paraId="0C4C8CD3" w14:textId="79F7E5BA" w:rsidR="27E52978" w:rsidRPr="000D1DD9" w:rsidRDefault="27E52978" w:rsidP="27E52978">
      <w:pPr>
        <w:pStyle w:val="Lijstalinea"/>
        <w:ind w:left="1440"/>
        <w:rPr>
          <w:rFonts w:ascii="Verdana" w:hAnsi="Verdana"/>
          <w:sz w:val="22"/>
          <w:szCs w:val="22"/>
          <w:lang w:val="fr-BE"/>
        </w:rPr>
      </w:pPr>
    </w:p>
    <w:p w14:paraId="3B67B383" w14:textId="77777777" w:rsidR="006F2D42" w:rsidRPr="000D1DD9" w:rsidRDefault="006F2D42" w:rsidP="27E52978">
      <w:pPr>
        <w:pStyle w:val="Lijstalinea"/>
        <w:ind w:left="1440"/>
        <w:rPr>
          <w:rFonts w:ascii="Verdana" w:hAnsi="Verdana"/>
          <w:sz w:val="22"/>
          <w:szCs w:val="22"/>
          <w:lang w:val="fr-BE"/>
        </w:rPr>
      </w:pPr>
    </w:p>
    <w:p w14:paraId="1DD8438F" w14:textId="5D4B0D52" w:rsidR="2305B09B" w:rsidRPr="000D1DD9" w:rsidRDefault="2305B09B" w:rsidP="27E52978">
      <w:pPr>
        <w:pStyle w:val="Lijstalinea"/>
        <w:numPr>
          <w:ilvl w:val="0"/>
          <w:numId w:val="1"/>
        </w:numPr>
        <w:rPr>
          <w:rFonts w:ascii="Verdana" w:hAnsi="Verdana"/>
          <w:b/>
          <w:bCs/>
          <w:sz w:val="22"/>
          <w:szCs w:val="22"/>
          <w:lang w:val="fr-BE"/>
        </w:rPr>
      </w:pPr>
      <w:r w:rsidRPr="000D1DD9">
        <w:rPr>
          <w:rFonts w:ascii="Verdana" w:hAnsi="Verdana"/>
          <w:b/>
          <w:bCs/>
          <w:color w:val="FF0000"/>
          <w:sz w:val="22"/>
          <w:szCs w:val="22"/>
          <w:lang w:val="fr-BE"/>
        </w:rPr>
        <w:t xml:space="preserve">Redresser la situation </w:t>
      </w:r>
      <w:r w:rsidRPr="000D1DD9">
        <w:rPr>
          <w:rFonts w:ascii="Verdana" w:hAnsi="Verdana"/>
          <w:b/>
          <w:bCs/>
          <w:sz w:val="22"/>
          <w:szCs w:val="22"/>
          <w:lang w:val="fr-BE"/>
        </w:rPr>
        <w:t>afin que les personnes handicapées puissent exercer leurs droits</w:t>
      </w:r>
      <w:r w:rsidR="61B5D0C7" w:rsidRPr="000D1DD9">
        <w:rPr>
          <w:rFonts w:ascii="Verdana" w:hAnsi="Verdana"/>
          <w:b/>
          <w:bCs/>
          <w:sz w:val="22"/>
          <w:szCs w:val="22"/>
          <w:lang w:val="fr-BE"/>
        </w:rPr>
        <w:t xml:space="preserve">, mener une vie digne </w:t>
      </w:r>
      <w:r w:rsidRPr="000D1DD9">
        <w:rPr>
          <w:rFonts w:ascii="Verdana" w:hAnsi="Verdana"/>
          <w:b/>
          <w:bCs/>
          <w:sz w:val="22"/>
          <w:szCs w:val="22"/>
          <w:lang w:val="fr-BE"/>
        </w:rPr>
        <w:t xml:space="preserve">et participer à la vie sociale </w:t>
      </w:r>
    </w:p>
    <w:p w14:paraId="03DF89DC" w14:textId="77777777" w:rsidR="006F2D42" w:rsidRPr="000D1DD9" w:rsidRDefault="006F2D42" w:rsidP="006F2D42">
      <w:pPr>
        <w:pStyle w:val="Lijstalinea"/>
        <w:rPr>
          <w:rFonts w:ascii="Verdana" w:hAnsi="Verdana"/>
          <w:b/>
          <w:bCs/>
          <w:sz w:val="22"/>
          <w:szCs w:val="22"/>
          <w:lang w:val="fr-BE"/>
        </w:rPr>
      </w:pPr>
    </w:p>
    <w:p w14:paraId="643EB8B5" w14:textId="76CBFD5C" w:rsidR="00F717AB" w:rsidRPr="000D1DD9" w:rsidRDefault="00F717AB" w:rsidP="154BC4B1">
      <w:pPr>
        <w:pStyle w:val="Lijstalinea"/>
        <w:numPr>
          <w:ilvl w:val="1"/>
          <w:numId w:val="1"/>
        </w:numPr>
        <w:rPr>
          <w:rFonts w:ascii="Verdana" w:hAnsi="Verdana"/>
          <w:b/>
          <w:bCs/>
          <w:color w:val="FF0000"/>
          <w:sz w:val="22"/>
          <w:szCs w:val="22"/>
          <w:lang w:val="fr-BE"/>
        </w:rPr>
      </w:pPr>
      <w:r w:rsidRPr="000D1DD9">
        <w:rPr>
          <w:rFonts w:ascii="Verdana" w:hAnsi="Verdana"/>
          <w:b/>
          <w:bCs/>
          <w:color w:val="FF0000"/>
          <w:sz w:val="22"/>
          <w:szCs w:val="22"/>
          <w:lang w:val="fr-BE"/>
        </w:rPr>
        <w:t xml:space="preserve">UNCRPD - Article 23 de la Constitution : le </w:t>
      </w:r>
      <w:r w:rsidRPr="000D1DD9">
        <w:rPr>
          <w:rFonts w:ascii="Verdana" w:hAnsi="Verdana"/>
          <w:b/>
          <w:bCs/>
          <w:color w:val="FF0000"/>
          <w:sz w:val="22"/>
          <w:szCs w:val="22"/>
          <w:u w:val="single"/>
          <w:lang w:val="fr-BE"/>
        </w:rPr>
        <w:t>législateur et les responsables politiques doivent s'engager</w:t>
      </w:r>
      <w:r w:rsidRPr="000D1DD9">
        <w:rPr>
          <w:rFonts w:ascii="Verdana" w:hAnsi="Verdana"/>
          <w:b/>
          <w:bCs/>
          <w:color w:val="FF0000"/>
          <w:sz w:val="22"/>
          <w:szCs w:val="22"/>
          <w:lang w:val="fr-BE"/>
        </w:rPr>
        <w:t xml:space="preserve"> efficacement en faveur de l'autonomie et de l'inclusion</w:t>
      </w:r>
      <w:r w:rsidR="006F2D42" w:rsidRPr="000D1DD9">
        <w:rPr>
          <w:rFonts w:ascii="Verdana" w:hAnsi="Verdana"/>
          <w:b/>
          <w:bCs/>
          <w:color w:val="FF0000"/>
          <w:sz w:val="22"/>
          <w:szCs w:val="22"/>
          <w:lang w:val="fr-BE"/>
        </w:rPr>
        <w:t>.</w:t>
      </w:r>
    </w:p>
    <w:p w14:paraId="21768144" w14:textId="365B44A6" w:rsidR="5A7E23E5" w:rsidRPr="000D1DD9" w:rsidRDefault="5A7E23E5" w:rsidP="006F2D42">
      <w:pPr>
        <w:pStyle w:val="Lijstalinea"/>
        <w:numPr>
          <w:ilvl w:val="1"/>
          <w:numId w:val="1"/>
        </w:numPr>
        <w:rPr>
          <w:rFonts w:ascii="Verdana" w:hAnsi="Verdana"/>
          <w:b/>
          <w:bCs/>
          <w:sz w:val="22"/>
          <w:szCs w:val="22"/>
          <w:lang w:val="fr-BE"/>
        </w:rPr>
      </w:pPr>
      <w:r w:rsidRPr="000D1DD9">
        <w:rPr>
          <w:rFonts w:ascii="Verdana" w:hAnsi="Verdana"/>
          <w:b/>
          <w:bCs/>
          <w:sz w:val="22"/>
          <w:szCs w:val="22"/>
          <w:lang w:val="fr-BE"/>
        </w:rPr>
        <w:t xml:space="preserve">Mener une vie digne </w:t>
      </w:r>
      <w:r w:rsidR="006F2D42" w:rsidRPr="000D1DD9">
        <w:rPr>
          <w:rFonts w:ascii="Verdana" w:hAnsi="Verdana"/>
          <w:b/>
          <w:bCs/>
          <w:sz w:val="22"/>
          <w:szCs w:val="22"/>
          <w:lang w:val="fr-BE"/>
        </w:rPr>
        <w:t xml:space="preserve">: </w:t>
      </w:r>
      <w:r w:rsidRPr="000D1DD9">
        <w:rPr>
          <w:rFonts w:ascii="Verdana" w:hAnsi="Verdana"/>
          <w:b/>
          <w:bCs/>
          <w:sz w:val="22"/>
          <w:szCs w:val="22"/>
          <w:lang w:val="fr-BE"/>
        </w:rPr>
        <w:t xml:space="preserve">les prestations sociales sont bien </w:t>
      </w:r>
      <w:r w:rsidR="00E51A37" w:rsidRPr="000D1DD9">
        <w:rPr>
          <w:rFonts w:ascii="Verdana" w:hAnsi="Verdana"/>
          <w:b/>
          <w:bCs/>
          <w:sz w:val="22"/>
          <w:szCs w:val="22"/>
          <w:lang w:val="fr-BE"/>
        </w:rPr>
        <w:t xml:space="preserve">en dessous </w:t>
      </w:r>
      <w:r w:rsidRPr="000D1DD9">
        <w:rPr>
          <w:rFonts w:ascii="Verdana" w:hAnsi="Verdana"/>
          <w:b/>
          <w:bCs/>
          <w:sz w:val="22"/>
          <w:szCs w:val="22"/>
          <w:lang w:val="fr-BE"/>
        </w:rPr>
        <w:t xml:space="preserve">du seuil de pauvreté. </w:t>
      </w:r>
    </w:p>
    <w:p w14:paraId="50C367FB" w14:textId="7A01189E" w:rsidR="2305B09B" w:rsidRPr="00655D12" w:rsidRDefault="374641FE" w:rsidP="27E52978">
      <w:pPr>
        <w:pStyle w:val="Lijstalinea"/>
        <w:numPr>
          <w:ilvl w:val="1"/>
          <w:numId w:val="1"/>
        </w:numPr>
        <w:rPr>
          <w:rFonts w:ascii="Verdana" w:hAnsi="Verdana"/>
          <w:b/>
          <w:bCs/>
          <w:sz w:val="22"/>
          <w:szCs w:val="22"/>
          <w:lang w:val="nl-BE"/>
        </w:rPr>
      </w:pPr>
      <w:r w:rsidRPr="000D1DD9">
        <w:rPr>
          <w:rFonts w:ascii="Verdana" w:hAnsi="Verdana"/>
          <w:b/>
          <w:bCs/>
          <w:sz w:val="22"/>
          <w:szCs w:val="22"/>
          <w:lang w:val="fr-BE"/>
        </w:rPr>
        <w:t>Participer à la vie sociale</w:t>
      </w:r>
      <w:r w:rsidR="0035401A" w:rsidRPr="00655D12">
        <w:rPr>
          <w:rFonts w:ascii="Verdana" w:hAnsi="Verdana"/>
          <w:b/>
          <w:bCs/>
          <w:sz w:val="22"/>
          <w:szCs w:val="22"/>
          <w:lang w:val="nl-BE"/>
        </w:rPr>
        <w:sym w:font="Wingdings" w:char="F0E8"/>
      </w:r>
      <w:r w:rsidRPr="000D1DD9">
        <w:rPr>
          <w:rFonts w:ascii="Verdana" w:hAnsi="Verdana"/>
          <w:b/>
          <w:bCs/>
          <w:sz w:val="22"/>
          <w:szCs w:val="22"/>
          <w:lang w:val="fr-BE"/>
        </w:rPr>
        <w:t xml:space="preserve"> </w:t>
      </w:r>
      <w:r w:rsidR="2305B09B" w:rsidRPr="000D1DD9">
        <w:rPr>
          <w:rFonts w:ascii="Verdana" w:hAnsi="Verdana"/>
          <w:b/>
          <w:bCs/>
          <w:sz w:val="22"/>
          <w:szCs w:val="22"/>
          <w:lang w:val="fr-BE"/>
        </w:rPr>
        <w:t>Changer l'environnement</w:t>
      </w:r>
      <w:r w:rsidR="006F2D42" w:rsidRPr="000D1DD9">
        <w:rPr>
          <w:rFonts w:ascii="Verdana" w:hAnsi="Verdana"/>
          <w:b/>
          <w:bCs/>
          <w:sz w:val="22"/>
          <w:szCs w:val="22"/>
          <w:lang w:val="fr-BE"/>
        </w:rPr>
        <w:t xml:space="preserve">. </w:t>
      </w:r>
      <w:r w:rsidR="006F2D42" w:rsidRPr="00655D12">
        <w:rPr>
          <w:rFonts w:ascii="Verdana" w:hAnsi="Verdana"/>
          <w:b/>
          <w:bCs/>
          <w:sz w:val="22"/>
          <w:szCs w:val="22"/>
          <w:lang w:val="nl-BE"/>
        </w:rPr>
        <w:t xml:space="preserve">Conformément </w:t>
      </w:r>
      <w:r w:rsidR="00557995" w:rsidRPr="00655D12">
        <w:rPr>
          <w:rFonts w:ascii="Verdana" w:hAnsi="Verdana"/>
          <w:b/>
          <w:bCs/>
          <w:sz w:val="22"/>
          <w:szCs w:val="22"/>
          <w:lang w:val="nl-BE"/>
        </w:rPr>
        <w:t>à la</w:t>
      </w:r>
    </w:p>
    <w:p w14:paraId="0D2A4E88" w14:textId="0BAABDE2" w:rsidR="3F38D9C4" w:rsidRPr="000D1DD9" w:rsidRDefault="3F38D9C4" w:rsidP="00557995">
      <w:pPr>
        <w:pStyle w:val="Lijstalinea"/>
        <w:numPr>
          <w:ilvl w:val="2"/>
          <w:numId w:val="1"/>
        </w:numPr>
        <w:rPr>
          <w:rFonts w:ascii="Verdana" w:hAnsi="Verdana"/>
          <w:sz w:val="22"/>
          <w:szCs w:val="22"/>
          <w:lang w:val="fr-BE"/>
        </w:rPr>
      </w:pPr>
      <w:hyperlink r:id="rId5">
        <w:r w:rsidRPr="000D1DD9">
          <w:rPr>
            <w:rStyle w:val="Hyperlink"/>
            <w:rFonts w:ascii="Verdana" w:hAnsi="Verdana"/>
            <w:sz w:val="22"/>
            <w:szCs w:val="22"/>
            <w:lang w:val="fr-BE"/>
          </w:rPr>
          <w:t>Convention relative aux droits des personnes handicapées</w:t>
        </w:r>
      </w:hyperlink>
    </w:p>
    <w:p w14:paraId="4E89A1EC" w14:textId="30433735" w:rsidR="29452182" w:rsidRPr="000D1DD9" w:rsidRDefault="3F38D9C4" w:rsidP="00557995">
      <w:pPr>
        <w:pStyle w:val="Lijstalinea"/>
        <w:numPr>
          <w:ilvl w:val="2"/>
          <w:numId w:val="1"/>
        </w:numPr>
        <w:rPr>
          <w:rFonts w:ascii="Verdana" w:hAnsi="Verdana"/>
          <w:sz w:val="22"/>
          <w:szCs w:val="22"/>
          <w:lang w:val="fr-BE"/>
        </w:rPr>
      </w:pPr>
      <w:hyperlink r:id="rId6">
        <w:r w:rsidRPr="000D1DD9">
          <w:rPr>
            <w:rStyle w:val="Hyperlink"/>
            <w:rFonts w:ascii="Verdana" w:hAnsi="Verdana"/>
            <w:sz w:val="22"/>
            <w:szCs w:val="22"/>
            <w:lang w:val="fr-BE"/>
          </w:rPr>
          <w:t>Recommandations 2024 des experts des Nations unies à la Belgique</w:t>
        </w:r>
      </w:hyperlink>
    </w:p>
    <w:p w14:paraId="1AB0FE0D" w14:textId="4FAD861C" w:rsidR="3F38D9C4" w:rsidRPr="00655D12" w:rsidRDefault="3F38D9C4" w:rsidP="00557995">
      <w:pPr>
        <w:pStyle w:val="Lijstalinea"/>
        <w:numPr>
          <w:ilvl w:val="2"/>
          <w:numId w:val="1"/>
        </w:numPr>
        <w:rPr>
          <w:rFonts w:ascii="Verdana" w:hAnsi="Verdana"/>
          <w:sz w:val="22"/>
          <w:szCs w:val="22"/>
          <w:lang w:val="nl-BE"/>
        </w:rPr>
      </w:pPr>
      <w:hyperlink r:id="rId7">
        <w:r w:rsidRPr="00655D12">
          <w:rPr>
            <w:rStyle w:val="Hyperlink"/>
            <w:rFonts w:ascii="Verdana" w:hAnsi="Verdana"/>
            <w:sz w:val="22"/>
            <w:szCs w:val="22"/>
            <w:lang w:val="nl-BE"/>
          </w:rPr>
          <w:t xml:space="preserve">Avis et positions </w:t>
        </w:r>
        <w:r w:rsidR="005A6689" w:rsidRPr="00655D12">
          <w:rPr>
            <w:rStyle w:val="Hyperlink"/>
            <w:rFonts w:ascii="Verdana" w:hAnsi="Verdana"/>
            <w:sz w:val="22"/>
            <w:szCs w:val="22"/>
            <w:lang w:val="nl-BE"/>
          </w:rPr>
          <w:t>du</w:t>
        </w:r>
      </w:hyperlink>
      <w:r w:rsidR="004E68B6" w:rsidRPr="00655D12">
        <w:rPr>
          <w:rFonts w:ascii="Verdana" w:hAnsi="Verdana"/>
          <w:sz w:val="22"/>
          <w:szCs w:val="22"/>
          <w:lang w:val="nl-BE"/>
        </w:rPr>
        <w:t xml:space="preserve"> NHRPH </w:t>
      </w:r>
    </w:p>
    <w:p w14:paraId="7AF0913F" w14:textId="77777777" w:rsidR="00557995" w:rsidRPr="00655D12" w:rsidRDefault="00557995" w:rsidP="00557995">
      <w:pPr>
        <w:pStyle w:val="Lijstalinea"/>
        <w:ind w:left="2160"/>
        <w:rPr>
          <w:rFonts w:ascii="Verdana" w:hAnsi="Verdana"/>
          <w:sz w:val="22"/>
          <w:szCs w:val="22"/>
          <w:lang w:val="nl-BE"/>
        </w:rPr>
      </w:pPr>
    </w:p>
    <w:p w14:paraId="6F2AA5E9" w14:textId="58849F11" w:rsidR="435F2673" w:rsidRPr="00655D12" w:rsidRDefault="00557995" w:rsidP="27E52978">
      <w:pPr>
        <w:pStyle w:val="Lijstalinea"/>
        <w:numPr>
          <w:ilvl w:val="1"/>
          <w:numId w:val="1"/>
        </w:numPr>
        <w:rPr>
          <w:rFonts w:ascii="Verdana" w:hAnsi="Verdana"/>
          <w:b/>
          <w:bCs/>
          <w:sz w:val="22"/>
          <w:szCs w:val="22"/>
          <w:lang w:val="nl-BE"/>
        </w:rPr>
      </w:pPr>
      <w:r w:rsidRPr="00655D12">
        <w:rPr>
          <w:rFonts w:ascii="Verdana" w:hAnsi="Verdana"/>
          <w:b/>
          <w:bCs/>
          <w:sz w:val="22"/>
          <w:szCs w:val="22"/>
          <w:lang w:val="nl-BE"/>
        </w:rPr>
        <w:t>Via :</w:t>
      </w:r>
    </w:p>
    <w:p w14:paraId="3E31E0A8" w14:textId="77777777" w:rsidR="00557995" w:rsidRPr="000D1DD9" w:rsidRDefault="33F4399B" w:rsidP="00557995">
      <w:pPr>
        <w:pStyle w:val="Lijstalinea"/>
        <w:numPr>
          <w:ilvl w:val="0"/>
          <w:numId w:val="5"/>
        </w:numPr>
        <w:ind w:left="2127"/>
        <w:rPr>
          <w:rFonts w:ascii="Verdana" w:hAnsi="Verdana"/>
          <w:b/>
          <w:bCs/>
          <w:color w:val="000000" w:themeColor="text1"/>
          <w:sz w:val="22"/>
          <w:szCs w:val="22"/>
          <w:lang w:val="fr-BE"/>
        </w:rPr>
      </w:pPr>
      <w:r w:rsidRPr="000D1DD9">
        <w:rPr>
          <w:rFonts w:ascii="Verdana" w:hAnsi="Verdana"/>
          <w:b/>
          <w:bCs/>
          <w:color w:val="000000" w:themeColor="text1"/>
          <w:sz w:val="22"/>
          <w:szCs w:val="22"/>
          <w:lang w:val="fr-BE"/>
        </w:rPr>
        <w:t xml:space="preserve">Conception universelle : </w:t>
      </w:r>
      <w:r w:rsidR="529BFE28" w:rsidRPr="000D1DD9">
        <w:rPr>
          <w:rFonts w:ascii="Verdana" w:hAnsi="Verdana"/>
          <w:color w:val="000000" w:themeColor="text1"/>
          <w:sz w:val="22"/>
          <w:szCs w:val="22"/>
          <w:lang w:val="fr-BE"/>
        </w:rPr>
        <w:t>ce qui est accessible aux personnes handicapées est accessible à tous les citoyens.</w:t>
      </w:r>
    </w:p>
    <w:p w14:paraId="38761429" w14:textId="77777777" w:rsidR="00557995" w:rsidRPr="000D1DD9" w:rsidRDefault="1E2ED62C" w:rsidP="00557995">
      <w:pPr>
        <w:pStyle w:val="Lijstalinea"/>
        <w:numPr>
          <w:ilvl w:val="0"/>
          <w:numId w:val="5"/>
        </w:numPr>
        <w:ind w:left="2127"/>
        <w:rPr>
          <w:rFonts w:ascii="Verdana" w:hAnsi="Verdana"/>
          <w:color w:val="000000" w:themeColor="text1"/>
          <w:sz w:val="22"/>
          <w:szCs w:val="22"/>
          <w:lang w:val="fr-BE"/>
        </w:rPr>
      </w:pPr>
      <w:r w:rsidRPr="000D1DD9">
        <w:rPr>
          <w:rFonts w:ascii="Verdana" w:hAnsi="Verdana"/>
          <w:b/>
          <w:bCs/>
          <w:color w:val="000000" w:themeColor="text1"/>
          <w:sz w:val="22"/>
          <w:szCs w:val="22"/>
          <w:lang w:val="fr-BE"/>
        </w:rPr>
        <w:t xml:space="preserve">Prévoyez TOUJOURS des alternatives non numériques </w:t>
      </w:r>
      <w:r w:rsidR="0E1F747A" w:rsidRPr="000D1DD9">
        <w:rPr>
          <w:rFonts w:ascii="Verdana" w:hAnsi="Verdana"/>
          <w:b/>
          <w:bCs/>
          <w:color w:val="000000" w:themeColor="text1"/>
          <w:sz w:val="22"/>
          <w:szCs w:val="22"/>
          <w:lang w:val="fr-BE"/>
        </w:rPr>
        <w:t xml:space="preserve">: </w:t>
      </w:r>
      <w:r w:rsidR="0E1F747A" w:rsidRPr="000D1DD9">
        <w:rPr>
          <w:rFonts w:ascii="Verdana" w:hAnsi="Verdana"/>
          <w:color w:val="000000" w:themeColor="text1"/>
          <w:sz w:val="22"/>
          <w:szCs w:val="22"/>
          <w:lang w:val="fr-BE"/>
        </w:rPr>
        <w:t>un guichet avec du personnel (rendez-vous sur place, centre de contact accessible tous les jours de la semaine, etc.)</w:t>
      </w:r>
    </w:p>
    <w:p w14:paraId="6A6E03AE" w14:textId="09310413" w:rsidR="75419C05" w:rsidRPr="000D1DD9" w:rsidRDefault="75419C05" w:rsidP="00557995">
      <w:pPr>
        <w:pStyle w:val="Lijstalinea"/>
        <w:numPr>
          <w:ilvl w:val="0"/>
          <w:numId w:val="5"/>
        </w:numPr>
        <w:ind w:left="2127"/>
        <w:rPr>
          <w:rFonts w:ascii="Verdana" w:hAnsi="Verdana"/>
          <w:color w:val="000000" w:themeColor="text1"/>
          <w:sz w:val="22"/>
          <w:szCs w:val="22"/>
          <w:lang w:val="fr-BE"/>
        </w:rPr>
      </w:pPr>
      <w:r w:rsidRPr="000D1DD9">
        <w:rPr>
          <w:rFonts w:ascii="Verdana" w:hAnsi="Verdana"/>
          <w:b/>
          <w:bCs/>
          <w:sz w:val="22"/>
          <w:szCs w:val="22"/>
          <w:lang w:val="fr-BE"/>
        </w:rPr>
        <w:t xml:space="preserve">Collaborez avec la </w:t>
      </w:r>
      <w:r w:rsidR="004E68B6" w:rsidRPr="000D1DD9">
        <w:rPr>
          <w:rFonts w:ascii="Verdana" w:hAnsi="Verdana"/>
          <w:b/>
          <w:bCs/>
          <w:sz w:val="22"/>
          <w:szCs w:val="22"/>
          <w:lang w:val="fr-BE"/>
        </w:rPr>
        <w:t xml:space="preserve">NHRPH </w:t>
      </w:r>
      <w:r w:rsidRPr="000D1DD9">
        <w:rPr>
          <w:rFonts w:ascii="Verdana" w:hAnsi="Verdana"/>
          <w:b/>
          <w:bCs/>
          <w:sz w:val="22"/>
          <w:szCs w:val="22"/>
          <w:lang w:val="fr-BE"/>
        </w:rPr>
        <w:t xml:space="preserve">et ses experts </w:t>
      </w:r>
    </w:p>
    <w:p w14:paraId="1B87688C" w14:textId="308BF98C" w:rsidR="75419C05" w:rsidRPr="000D1DD9" w:rsidRDefault="75419C05" w:rsidP="27E52978">
      <w:pPr>
        <w:pStyle w:val="Lijstalinea"/>
        <w:numPr>
          <w:ilvl w:val="3"/>
          <w:numId w:val="1"/>
        </w:numPr>
        <w:rPr>
          <w:rFonts w:ascii="Verdana" w:hAnsi="Verdana"/>
          <w:color w:val="FF0000"/>
          <w:sz w:val="22"/>
          <w:szCs w:val="22"/>
          <w:lang w:val="fr-BE"/>
        </w:rPr>
      </w:pPr>
      <w:r w:rsidRPr="000D1DD9">
        <w:rPr>
          <w:rFonts w:ascii="Verdana" w:hAnsi="Verdana"/>
          <w:b/>
          <w:bCs/>
          <w:color w:val="FF0000"/>
          <w:sz w:val="22"/>
          <w:szCs w:val="22"/>
          <w:lang w:val="fr-BE"/>
        </w:rPr>
        <w:t xml:space="preserve">Dès le début </w:t>
      </w:r>
      <w:r w:rsidR="00557995" w:rsidRPr="000D1DD9">
        <w:rPr>
          <w:rFonts w:ascii="Verdana" w:hAnsi="Verdana"/>
          <w:b/>
          <w:bCs/>
          <w:color w:val="FF0000"/>
          <w:sz w:val="22"/>
          <w:szCs w:val="22"/>
          <w:lang w:val="fr-BE"/>
        </w:rPr>
        <w:t xml:space="preserve">du processus </w:t>
      </w:r>
      <w:r w:rsidRPr="000D1DD9">
        <w:rPr>
          <w:rFonts w:ascii="Verdana" w:hAnsi="Verdana"/>
          <w:b/>
          <w:bCs/>
          <w:color w:val="FF0000"/>
          <w:sz w:val="22"/>
          <w:szCs w:val="22"/>
          <w:lang w:val="fr-BE"/>
        </w:rPr>
        <w:t xml:space="preserve">de consultation </w:t>
      </w:r>
    </w:p>
    <w:p w14:paraId="2DBED6CB" w14:textId="2F989DE4" w:rsidR="75419C05" w:rsidRPr="000D1DD9" w:rsidRDefault="75419C05" w:rsidP="27E52978">
      <w:pPr>
        <w:pStyle w:val="Lijstalinea"/>
        <w:numPr>
          <w:ilvl w:val="4"/>
          <w:numId w:val="1"/>
        </w:numPr>
        <w:rPr>
          <w:rFonts w:ascii="Verdana" w:hAnsi="Verdana"/>
          <w:sz w:val="22"/>
          <w:szCs w:val="22"/>
          <w:lang w:val="fr-BE"/>
        </w:rPr>
      </w:pPr>
      <w:r w:rsidRPr="000D1DD9">
        <w:rPr>
          <w:rFonts w:ascii="Verdana" w:hAnsi="Verdana"/>
          <w:sz w:val="22"/>
          <w:szCs w:val="22"/>
          <w:lang w:val="fr-BE"/>
        </w:rPr>
        <w:t xml:space="preserve">, demander un avis sur un projet d'arrêté royal </w:t>
      </w:r>
      <w:r w:rsidR="2A029E12" w:rsidRPr="000D1DD9">
        <w:rPr>
          <w:rFonts w:ascii="Verdana" w:hAnsi="Verdana"/>
          <w:sz w:val="22"/>
          <w:szCs w:val="22"/>
          <w:lang w:val="fr-BE"/>
        </w:rPr>
        <w:t>soumis</w:t>
      </w:r>
      <w:r w:rsidR="51151FB4" w:rsidRPr="000D1DD9">
        <w:rPr>
          <w:rFonts w:ascii="Verdana" w:hAnsi="Verdana"/>
          <w:sz w:val="22"/>
          <w:szCs w:val="22"/>
          <w:lang w:val="fr-BE"/>
        </w:rPr>
        <w:t xml:space="preserve"> au Conseil des ministres </w:t>
      </w:r>
      <w:r w:rsidRPr="000D1DD9">
        <w:rPr>
          <w:rFonts w:ascii="Verdana" w:hAnsi="Verdana"/>
          <w:sz w:val="22"/>
          <w:szCs w:val="22"/>
          <w:lang w:val="fr-BE"/>
        </w:rPr>
        <w:t xml:space="preserve">est trop tardif et incomplet </w:t>
      </w:r>
      <w:r w:rsidR="59115A7E" w:rsidRPr="000D1DD9">
        <w:rPr>
          <w:rFonts w:ascii="Verdana" w:hAnsi="Verdana"/>
          <w:sz w:val="22"/>
          <w:szCs w:val="22"/>
          <w:lang w:val="fr-BE"/>
        </w:rPr>
        <w:t xml:space="preserve">! </w:t>
      </w:r>
    </w:p>
    <w:p w14:paraId="02B9ECEF" w14:textId="751606BA" w:rsidR="003F200C" w:rsidRPr="000D1DD9" w:rsidRDefault="003F200C" w:rsidP="27E52978">
      <w:pPr>
        <w:pStyle w:val="Lijstalinea"/>
        <w:numPr>
          <w:ilvl w:val="4"/>
          <w:numId w:val="1"/>
        </w:numPr>
        <w:rPr>
          <w:rFonts w:ascii="Verdana" w:hAnsi="Verdana"/>
          <w:sz w:val="22"/>
          <w:szCs w:val="22"/>
          <w:lang w:val="fr-BE"/>
        </w:rPr>
      </w:pPr>
      <w:r w:rsidRPr="000D1DD9">
        <w:rPr>
          <w:rFonts w:ascii="Verdana" w:hAnsi="Verdana"/>
          <w:sz w:val="22"/>
          <w:szCs w:val="22"/>
          <w:lang w:val="fr-BE"/>
        </w:rPr>
        <w:t xml:space="preserve">Participation du cabinet </w:t>
      </w:r>
      <w:r w:rsidR="39033718" w:rsidRPr="000D1DD9">
        <w:rPr>
          <w:rFonts w:ascii="Verdana" w:hAnsi="Verdana"/>
          <w:sz w:val="22"/>
          <w:szCs w:val="22"/>
          <w:lang w:val="fr-BE"/>
        </w:rPr>
        <w:t xml:space="preserve">à la réunion plénière </w:t>
      </w:r>
      <w:r w:rsidR="665B4623" w:rsidRPr="000D1DD9">
        <w:rPr>
          <w:rFonts w:ascii="Verdana" w:hAnsi="Verdana"/>
          <w:sz w:val="22"/>
          <w:szCs w:val="22"/>
          <w:lang w:val="fr-BE"/>
        </w:rPr>
        <w:t xml:space="preserve">mensuelle </w:t>
      </w:r>
      <w:r w:rsidRPr="000D1DD9">
        <w:rPr>
          <w:rFonts w:ascii="Verdana" w:hAnsi="Verdana"/>
          <w:sz w:val="22"/>
          <w:szCs w:val="22"/>
          <w:lang w:val="fr-BE"/>
        </w:rPr>
        <w:t xml:space="preserve">du </w:t>
      </w:r>
      <w:r w:rsidR="004E68B6" w:rsidRPr="000D1DD9">
        <w:rPr>
          <w:rFonts w:ascii="Verdana" w:hAnsi="Verdana"/>
          <w:sz w:val="22"/>
          <w:szCs w:val="22"/>
          <w:lang w:val="fr-BE"/>
        </w:rPr>
        <w:t>CNDPH</w:t>
      </w:r>
    </w:p>
    <w:p w14:paraId="28BEB268" w14:textId="317DA8C1" w:rsidR="59115A7E" w:rsidRPr="000D1DD9" w:rsidRDefault="59115A7E" w:rsidP="27E52978">
      <w:pPr>
        <w:pStyle w:val="Lijstalinea"/>
        <w:numPr>
          <w:ilvl w:val="4"/>
          <w:numId w:val="1"/>
        </w:numPr>
        <w:rPr>
          <w:rFonts w:ascii="Verdana" w:hAnsi="Verdana"/>
          <w:sz w:val="22"/>
          <w:szCs w:val="22"/>
          <w:lang w:val="fr-BE"/>
        </w:rPr>
      </w:pPr>
      <w:r w:rsidRPr="000D1DD9">
        <w:rPr>
          <w:rFonts w:ascii="Verdana" w:hAnsi="Verdana"/>
          <w:sz w:val="22"/>
          <w:szCs w:val="22"/>
          <w:lang w:val="fr-BE"/>
        </w:rPr>
        <w:t xml:space="preserve">Le </w:t>
      </w:r>
      <w:r w:rsidR="004E68B6" w:rsidRPr="000D1DD9">
        <w:rPr>
          <w:rFonts w:ascii="Verdana" w:hAnsi="Verdana"/>
          <w:sz w:val="22"/>
          <w:szCs w:val="22"/>
          <w:lang w:val="fr-BE"/>
        </w:rPr>
        <w:t xml:space="preserve">CNDPH </w:t>
      </w:r>
      <w:r w:rsidRPr="000D1DD9">
        <w:rPr>
          <w:rFonts w:ascii="Verdana" w:hAnsi="Verdana"/>
          <w:sz w:val="22"/>
          <w:szCs w:val="22"/>
          <w:lang w:val="fr-BE"/>
        </w:rPr>
        <w:t xml:space="preserve">n'est pas un bureau technique, mais il peut donner des avis sur la base des problématiques </w:t>
      </w:r>
    </w:p>
    <w:p w14:paraId="0A9317A2" w14:textId="5C42954D" w:rsidR="78380746" w:rsidRPr="000D1DD9" w:rsidRDefault="78380746" w:rsidP="65964057">
      <w:pPr>
        <w:pStyle w:val="Lijstalinea"/>
        <w:numPr>
          <w:ilvl w:val="4"/>
          <w:numId w:val="1"/>
        </w:numPr>
        <w:rPr>
          <w:rFonts w:ascii="Verdana" w:hAnsi="Verdana"/>
          <w:sz w:val="22"/>
          <w:szCs w:val="22"/>
          <w:highlight w:val="yellow"/>
          <w:lang w:val="fr-BE"/>
        </w:rPr>
      </w:pPr>
      <w:r w:rsidRPr="000D1DD9">
        <w:rPr>
          <w:rFonts w:ascii="Verdana" w:hAnsi="Verdana"/>
          <w:sz w:val="22"/>
          <w:szCs w:val="22"/>
          <w:highlight w:val="yellow"/>
          <w:lang w:val="fr-BE"/>
        </w:rPr>
        <w:t xml:space="preserve">Suggestion du </w:t>
      </w:r>
      <w:r w:rsidR="004E68B6" w:rsidRPr="000D1DD9">
        <w:rPr>
          <w:rFonts w:ascii="Verdana" w:hAnsi="Verdana"/>
          <w:sz w:val="22"/>
          <w:szCs w:val="22"/>
          <w:highlight w:val="yellow"/>
          <w:lang w:val="fr-BE"/>
        </w:rPr>
        <w:t xml:space="preserve">NHRPH </w:t>
      </w:r>
      <w:r w:rsidRPr="000D1DD9">
        <w:rPr>
          <w:rFonts w:ascii="Verdana" w:hAnsi="Verdana"/>
          <w:sz w:val="22"/>
          <w:szCs w:val="22"/>
          <w:highlight w:val="yellow"/>
          <w:lang w:val="fr-BE"/>
        </w:rPr>
        <w:t xml:space="preserve">: </w:t>
      </w:r>
      <w:r w:rsidR="00557995" w:rsidRPr="000D1DD9">
        <w:rPr>
          <w:rFonts w:ascii="Verdana" w:hAnsi="Verdana"/>
          <w:sz w:val="22"/>
          <w:szCs w:val="22"/>
          <w:highlight w:val="yellow"/>
          <w:lang w:val="fr-BE"/>
        </w:rPr>
        <w:t>rencontres systématiques.</w:t>
      </w:r>
    </w:p>
    <w:p w14:paraId="499E0750" w14:textId="137BA163" w:rsidR="03C930AB" w:rsidRPr="000D1DD9" w:rsidRDefault="03C930AB" w:rsidP="27E52978">
      <w:pPr>
        <w:pStyle w:val="Lijstalinea"/>
        <w:numPr>
          <w:ilvl w:val="4"/>
          <w:numId w:val="1"/>
        </w:numPr>
        <w:rPr>
          <w:rFonts w:ascii="Verdana" w:hAnsi="Verdana"/>
          <w:sz w:val="22"/>
          <w:szCs w:val="22"/>
          <w:lang w:val="fr-BE"/>
        </w:rPr>
      </w:pPr>
      <w:r w:rsidRPr="000D1DD9">
        <w:rPr>
          <w:rFonts w:ascii="Verdana" w:hAnsi="Verdana"/>
          <w:sz w:val="22"/>
          <w:szCs w:val="22"/>
          <w:lang w:val="fr-BE"/>
        </w:rPr>
        <w:t xml:space="preserve">Le </w:t>
      </w:r>
      <w:r w:rsidR="004E68B6" w:rsidRPr="000D1DD9">
        <w:rPr>
          <w:rFonts w:ascii="Verdana" w:hAnsi="Verdana"/>
          <w:sz w:val="22"/>
          <w:szCs w:val="22"/>
          <w:lang w:val="fr-BE"/>
        </w:rPr>
        <w:t xml:space="preserve">CNDH </w:t>
      </w:r>
      <w:r w:rsidRPr="000D1DD9">
        <w:rPr>
          <w:rFonts w:ascii="Verdana" w:hAnsi="Verdana"/>
          <w:sz w:val="22"/>
          <w:szCs w:val="22"/>
          <w:lang w:val="fr-BE"/>
        </w:rPr>
        <w:t xml:space="preserve">peut travailler en toute confidentialité </w:t>
      </w:r>
    </w:p>
    <w:p w14:paraId="277B1177" w14:textId="0ECCCD53" w:rsidR="03C930AB" w:rsidRPr="00655D12" w:rsidRDefault="03C930AB" w:rsidP="27E52978">
      <w:pPr>
        <w:pStyle w:val="Lijstalinea"/>
        <w:numPr>
          <w:ilvl w:val="4"/>
          <w:numId w:val="1"/>
        </w:numPr>
        <w:rPr>
          <w:rFonts w:ascii="Verdana" w:hAnsi="Verdana"/>
          <w:sz w:val="22"/>
          <w:szCs w:val="22"/>
          <w:lang w:val="fr-BE"/>
        </w:rPr>
      </w:pPr>
      <w:r w:rsidRPr="00655D12">
        <w:rPr>
          <w:rFonts w:ascii="Verdana" w:hAnsi="Verdana"/>
          <w:sz w:val="22"/>
          <w:szCs w:val="22"/>
          <w:lang w:val="fr-BE"/>
        </w:rPr>
        <w:t xml:space="preserve">= Gagnant-gagnant ! </w:t>
      </w:r>
    </w:p>
    <w:p w14:paraId="7F98EFEE" w14:textId="41E87E81" w:rsidR="45354444" w:rsidRPr="000D1DD9" w:rsidRDefault="45354444" w:rsidP="27E52978">
      <w:pPr>
        <w:pStyle w:val="Lijstalinea"/>
        <w:numPr>
          <w:ilvl w:val="3"/>
          <w:numId w:val="1"/>
        </w:numPr>
        <w:rPr>
          <w:rFonts w:ascii="Verdana" w:hAnsi="Verdana"/>
          <w:sz w:val="22"/>
          <w:szCs w:val="22"/>
          <w:lang w:val="fr-BE"/>
        </w:rPr>
      </w:pPr>
      <w:r w:rsidRPr="000D1DD9">
        <w:rPr>
          <w:rFonts w:ascii="Verdana" w:hAnsi="Verdana"/>
          <w:sz w:val="22"/>
          <w:szCs w:val="22"/>
          <w:lang w:val="fr-BE"/>
        </w:rPr>
        <w:t xml:space="preserve">Les demandes sont transmises par l'intermédiaire </w:t>
      </w:r>
      <w:r w:rsidRPr="000D1DD9">
        <w:rPr>
          <w:rFonts w:ascii="Verdana" w:hAnsi="Verdana"/>
          <w:b/>
          <w:bCs/>
          <w:sz w:val="22"/>
          <w:szCs w:val="22"/>
          <w:lang w:val="fr-BE"/>
        </w:rPr>
        <w:t xml:space="preserve">du président </w:t>
      </w:r>
      <w:r w:rsidR="3B0DEBC8" w:rsidRPr="000D1DD9">
        <w:rPr>
          <w:rFonts w:ascii="Verdana" w:hAnsi="Verdana"/>
          <w:b/>
          <w:bCs/>
          <w:sz w:val="22"/>
          <w:szCs w:val="22"/>
          <w:lang w:val="fr-BE"/>
        </w:rPr>
        <w:t xml:space="preserve">et </w:t>
      </w:r>
      <w:r w:rsidRPr="000D1DD9">
        <w:rPr>
          <w:rFonts w:ascii="Verdana" w:hAnsi="Verdana"/>
          <w:b/>
          <w:bCs/>
          <w:sz w:val="22"/>
          <w:szCs w:val="22"/>
          <w:lang w:val="fr-BE"/>
        </w:rPr>
        <w:t>du secrétariat</w:t>
      </w:r>
    </w:p>
    <w:p w14:paraId="2E85A75E" w14:textId="77777777" w:rsidR="00EA1D3A" w:rsidRPr="000D1DD9" w:rsidRDefault="00EA1D3A" w:rsidP="00EA1D3A">
      <w:pPr>
        <w:ind w:left="720" w:hanging="360"/>
        <w:rPr>
          <w:rFonts w:ascii="Verdana" w:hAnsi="Verdana"/>
          <w:sz w:val="22"/>
          <w:szCs w:val="22"/>
          <w:lang w:val="fr-BE"/>
        </w:rPr>
      </w:pPr>
    </w:p>
    <w:p w14:paraId="587295AB" w14:textId="3E10BB59" w:rsidR="00EA1D3A" w:rsidRPr="000D1DD9" w:rsidRDefault="00EA1D3A" w:rsidP="00EA1D3A">
      <w:pPr>
        <w:pStyle w:val="Lijstalinea"/>
        <w:pBdr>
          <w:top w:val="single" w:sz="4" w:space="1" w:color="auto"/>
          <w:left w:val="single" w:sz="4" w:space="4" w:color="auto"/>
          <w:bottom w:val="single" w:sz="4" w:space="1" w:color="auto"/>
          <w:right w:val="single" w:sz="4" w:space="4" w:color="auto"/>
        </w:pBdr>
        <w:rPr>
          <w:rFonts w:ascii="Verdana" w:hAnsi="Verdana"/>
          <w:b/>
          <w:bCs/>
          <w:sz w:val="22"/>
          <w:szCs w:val="22"/>
          <w:lang w:val="fr-BE"/>
        </w:rPr>
      </w:pPr>
      <w:r w:rsidRPr="000D1DD9">
        <w:rPr>
          <w:rFonts w:ascii="Verdana" w:hAnsi="Verdana"/>
          <w:b/>
          <w:bCs/>
          <w:sz w:val="22"/>
          <w:szCs w:val="22"/>
          <w:lang w:val="fr-BE"/>
        </w:rPr>
        <w:t xml:space="preserve">2. Résumé des points d'attention </w:t>
      </w:r>
      <w:r w:rsidR="008C5E95" w:rsidRPr="000D1DD9">
        <w:rPr>
          <w:rFonts w:ascii="Verdana" w:hAnsi="Verdana"/>
          <w:b/>
          <w:bCs/>
          <w:sz w:val="22"/>
          <w:szCs w:val="22"/>
          <w:lang w:val="fr-BE"/>
        </w:rPr>
        <w:t xml:space="preserve">du </w:t>
      </w:r>
      <w:r w:rsidR="004E68B6" w:rsidRPr="000D1DD9">
        <w:rPr>
          <w:rFonts w:ascii="Verdana" w:hAnsi="Verdana"/>
          <w:b/>
          <w:bCs/>
          <w:sz w:val="22"/>
          <w:szCs w:val="22"/>
          <w:lang w:val="fr-BE"/>
        </w:rPr>
        <w:t xml:space="preserve">NHRPH </w:t>
      </w:r>
    </w:p>
    <w:p w14:paraId="7D0D2067" w14:textId="77777777" w:rsidR="00B5715C" w:rsidRPr="000D1DD9" w:rsidRDefault="00B5715C" w:rsidP="00B5715C">
      <w:pPr>
        <w:rPr>
          <w:rFonts w:ascii="Verdana" w:hAnsi="Verdana"/>
          <w:b/>
          <w:bCs/>
          <w:sz w:val="22"/>
          <w:szCs w:val="22"/>
          <w:lang w:val="fr-BE"/>
        </w:rPr>
      </w:pPr>
    </w:p>
    <w:p w14:paraId="36B9BE87" w14:textId="272A3CA9" w:rsidR="00B5715C" w:rsidRPr="000D1DD9" w:rsidRDefault="00B5715C" w:rsidP="00BC76F6">
      <w:pPr>
        <w:spacing w:after="0" w:line="240" w:lineRule="auto"/>
        <w:rPr>
          <w:rFonts w:ascii="Verdana" w:eastAsia="Verdana" w:hAnsi="Verdana" w:cs="Verdana"/>
          <w:sz w:val="22"/>
          <w:szCs w:val="22"/>
          <w:lang w:val="fr-BE"/>
        </w:rPr>
      </w:pPr>
      <w:r w:rsidRPr="000D1DD9">
        <w:rPr>
          <w:rFonts w:ascii="Verdana" w:eastAsia="Verdana" w:hAnsi="Verdana" w:cs="Verdana"/>
          <w:sz w:val="22"/>
          <w:szCs w:val="22"/>
          <w:lang w:val="fr-BE"/>
        </w:rPr>
        <w:t xml:space="preserve">- Respecter le quota de 3 % d'emploi de personnes handicapées dans les services publics dont vous êtes responsable. </w:t>
      </w:r>
      <w:r w:rsidR="00BC76F6" w:rsidRPr="000D1DD9">
        <w:rPr>
          <w:rFonts w:ascii="Verdana" w:eastAsia="Verdana" w:hAnsi="Verdana" w:cs="Verdana"/>
          <w:sz w:val="22"/>
          <w:szCs w:val="22"/>
          <w:lang w:val="fr-BE"/>
        </w:rPr>
        <w:br/>
      </w:r>
    </w:p>
    <w:p w14:paraId="6BDC5FAB" w14:textId="34391CC2" w:rsidR="00B5715C" w:rsidRPr="000D1DD9" w:rsidRDefault="00B5715C" w:rsidP="00B5715C">
      <w:pPr>
        <w:pStyle w:val="Lijstalinea"/>
        <w:numPr>
          <w:ilvl w:val="0"/>
          <w:numId w:val="11"/>
        </w:numPr>
        <w:spacing w:after="0" w:line="240" w:lineRule="auto"/>
        <w:rPr>
          <w:rFonts w:ascii="Verdana" w:eastAsia="Verdana" w:hAnsi="Verdana" w:cs="Verdana"/>
          <w:b/>
          <w:bCs/>
          <w:sz w:val="22"/>
          <w:szCs w:val="22"/>
          <w:lang w:val="fr-BE"/>
        </w:rPr>
      </w:pPr>
      <w:r w:rsidRPr="000D1DD9">
        <w:rPr>
          <w:rFonts w:ascii="Verdana" w:eastAsia="Verdana" w:hAnsi="Verdana" w:cs="Verdana"/>
          <w:b/>
          <w:bCs/>
          <w:sz w:val="22"/>
          <w:szCs w:val="22"/>
          <w:lang w:val="fr-BE"/>
        </w:rPr>
        <w:t xml:space="preserve">La Défense et la Police peuvent-elles </w:t>
      </w:r>
      <w:r w:rsidR="00BC76F6" w:rsidRPr="000D1DD9">
        <w:rPr>
          <w:rFonts w:ascii="Verdana" w:eastAsia="Verdana" w:hAnsi="Verdana" w:cs="Verdana"/>
          <w:b/>
          <w:bCs/>
          <w:sz w:val="22"/>
          <w:szCs w:val="22"/>
          <w:lang w:val="fr-BE"/>
        </w:rPr>
        <w:t>être réintégrées dans l'AR ?</w:t>
      </w:r>
    </w:p>
    <w:p w14:paraId="4162E726" w14:textId="77777777" w:rsidR="00BC76F6" w:rsidRPr="000D1DD9" w:rsidRDefault="00BC76F6" w:rsidP="00BC76F6">
      <w:pPr>
        <w:pStyle w:val="Lijstalinea"/>
        <w:spacing w:after="0" w:line="240" w:lineRule="auto"/>
        <w:rPr>
          <w:rFonts w:ascii="Verdana" w:eastAsia="Verdana" w:hAnsi="Verdana" w:cs="Verdana"/>
          <w:sz w:val="22"/>
          <w:szCs w:val="22"/>
          <w:lang w:val="fr-BE"/>
        </w:rPr>
      </w:pPr>
    </w:p>
    <w:p w14:paraId="0ECF1B90" w14:textId="77777777" w:rsidR="00B5715C" w:rsidRPr="00655D12" w:rsidRDefault="00B5715C" w:rsidP="00B5715C">
      <w:pPr>
        <w:spacing w:after="0" w:line="240" w:lineRule="auto"/>
        <w:rPr>
          <w:rFonts w:ascii="Verdana" w:eastAsia="Verdana" w:hAnsi="Verdana" w:cs="Verdana"/>
          <w:sz w:val="22"/>
          <w:szCs w:val="22"/>
          <w:lang w:val="nl-BE"/>
        </w:rPr>
      </w:pPr>
      <w:r w:rsidRPr="000D1DD9">
        <w:rPr>
          <w:rFonts w:ascii="Verdana" w:eastAsia="Verdana" w:hAnsi="Verdana" w:cs="Verdana"/>
          <w:sz w:val="22"/>
          <w:szCs w:val="22"/>
          <w:lang w:val="fr-BE"/>
        </w:rPr>
        <w:t xml:space="preserve">- La loi réformant les régimes d'incapacité et instaurant un nouveau statut de protection conforme à la dignité humaine a été évaluée. </w:t>
      </w:r>
      <w:proofErr w:type="spellStart"/>
      <w:r w:rsidRPr="00655D12">
        <w:rPr>
          <w:rFonts w:ascii="Verdana" w:eastAsia="Verdana" w:hAnsi="Verdana" w:cs="Verdana"/>
          <w:sz w:val="22"/>
          <w:szCs w:val="22"/>
          <w:lang w:val="nl-BE"/>
        </w:rPr>
        <w:t>Quelle</w:t>
      </w:r>
      <w:proofErr w:type="spellEnd"/>
      <w:r w:rsidRPr="00655D12">
        <w:rPr>
          <w:rFonts w:ascii="Verdana" w:eastAsia="Verdana" w:hAnsi="Verdana" w:cs="Verdana"/>
          <w:sz w:val="22"/>
          <w:szCs w:val="22"/>
          <w:lang w:val="nl-BE"/>
        </w:rPr>
        <w:t xml:space="preserve"> </w:t>
      </w:r>
      <w:proofErr w:type="spellStart"/>
      <w:r w:rsidRPr="00655D12">
        <w:rPr>
          <w:rFonts w:ascii="Verdana" w:eastAsia="Verdana" w:hAnsi="Verdana" w:cs="Verdana"/>
          <w:sz w:val="22"/>
          <w:szCs w:val="22"/>
          <w:lang w:val="nl-BE"/>
        </w:rPr>
        <w:t>est</w:t>
      </w:r>
      <w:proofErr w:type="spellEnd"/>
      <w:r w:rsidRPr="00655D12">
        <w:rPr>
          <w:rFonts w:ascii="Verdana" w:eastAsia="Verdana" w:hAnsi="Verdana" w:cs="Verdana"/>
          <w:sz w:val="22"/>
          <w:szCs w:val="22"/>
          <w:lang w:val="nl-BE"/>
        </w:rPr>
        <w:t xml:space="preserve"> </w:t>
      </w:r>
      <w:proofErr w:type="spellStart"/>
      <w:r w:rsidRPr="00655D12">
        <w:rPr>
          <w:rFonts w:ascii="Verdana" w:eastAsia="Verdana" w:hAnsi="Verdana" w:cs="Verdana"/>
          <w:sz w:val="22"/>
          <w:szCs w:val="22"/>
          <w:lang w:val="nl-BE"/>
        </w:rPr>
        <w:t>votre</w:t>
      </w:r>
      <w:proofErr w:type="spellEnd"/>
      <w:r w:rsidRPr="00655D12">
        <w:rPr>
          <w:rFonts w:ascii="Verdana" w:eastAsia="Verdana" w:hAnsi="Verdana" w:cs="Verdana"/>
          <w:sz w:val="22"/>
          <w:szCs w:val="22"/>
          <w:lang w:val="nl-BE"/>
        </w:rPr>
        <w:t xml:space="preserve"> </w:t>
      </w:r>
      <w:proofErr w:type="spellStart"/>
      <w:r w:rsidRPr="00655D12">
        <w:rPr>
          <w:rFonts w:ascii="Verdana" w:eastAsia="Verdana" w:hAnsi="Verdana" w:cs="Verdana"/>
          <w:sz w:val="22"/>
          <w:szCs w:val="22"/>
          <w:lang w:val="nl-BE"/>
        </w:rPr>
        <w:t>position</w:t>
      </w:r>
      <w:proofErr w:type="spellEnd"/>
      <w:r w:rsidRPr="00655D12">
        <w:rPr>
          <w:rFonts w:ascii="Verdana" w:eastAsia="Verdana" w:hAnsi="Verdana" w:cs="Verdana"/>
          <w:sz w:val="22"/>
          <w:szCs w:val="22"/>
          <w:lang w:val="nl-BE"/>
        </w:rPr>
        <w:t xml:space="preserve"> sur ce </w:t>
      </w:r>
      <w:hyperlink r:id="rId8" w:history="1">
        <w:r w:rsidRPr="00655D12">
          <w:rPr>
            <w:rStyle w:val="Hyperlink"/>
            <w:rFonts w:ascii="Verdana" w:eastAsia="Verdana" w:hAnsi="Verdana" w:cs="Verdana"/>
            <w:sz w:val="22"/>
            <w:szCs w:val="22"/>
            <w:lang w:val="nl-BE"/>
          </w:rPr>
          <w:t>rapport d'évaluation</w:t>
        </w:r>
      </w:hyperlink>
      <w:r w:rsidRPr="00655D12">
        <w:rPr>
          <w:rFonts w:ascii="Verdana" w:eastAsia="Verdana" w:hAnsi="Verdana" w:cs="Verdana"/>
          <w:sz w:val="22"/>
          <w:szCs w:val="22"/>
          <w:lang w:val="nl-BE"/>
        </w:rPr>
        <w:t xml:space="preserve"> ?</w:t>
      </w:r>
    </w:p>
    <w:p w14:paraId="65FB6682" w14:textId="77777777" w:rsidR="00BC76F6" w:rsidRPr="00655D12" w:rsidRDefault="00BC76F6" w:rsidP="00B5715C">
      <w:pPr>
        <w:spacing w:after="0" w:line="240" w:lineRule="auto"/>
        <w:rPr>
          <w:rFonts w:ascii="Verdana" w:eastAsia="Verdana" w:hAnsi="Verdana" w:cs="Verdana"/>
          <w:sz w:val="22"/>
          <w:szCs w:val="22"/>
          <w:lang w:val="nl-BE"/>
        </w:rPr>
      </w:pPr>
    </w:p>
    <w:p w14:paraId="3B0FBF43" w14:textId="0A090CE8" w:rsidR="00BC76F6" w:rsidRPr="000D1DD9" w:rsidRDefault="00BC76F6" w:rsidP="00BC76F6">
      <w:pPr>
        <w:pStyle w:val="Lijstalinea"/>
        <w:numPr>
          <w:ilvl w:val="0"/>
          <w:numId w:val="11"/>
        </w:numPr>
        <w:spacing w:after="0" w:line="240" w:lineRule="auto"/>
        <w:rPr>
          <w:rFonts w:ascii="Verdana" w:eastAsia="Verdana" w:hAnsi="Verdana" w:cs="Verdana"/>
          <w:b/>
          <w:bCs/>
          <w:sz w:val="22"/>
          <w:szCs w:val="22"/>
          <w:lang w:val="fr-BE"/>
        </w:rPr>
      </w:pPr>
      <w:r w:rsidRPr="000D1DD9">
        <w:rPr>
          <w:rFonts w:ascii="Verdana" w:eastAsia="Verdana" w:hAnsi="Verdana" w:cs="Verdana"/>
          <w:b/>
          <w:bCs/>
          <w:sz w:val="22"/>
          <w:szCs w:val="22"/>
          <w:lang w:val="fr-BE"/>
        </w:rPr>
        <w:t xml:space="preserve">Quelle est la situation actuelle concernant le </w:t>
      </w:r>
      <w:r w:rsidR="00B5715C" w:rsidRPr="000D1DD9">
        <w:rPr>
          <w:rFonts w:ascii="Verdana" w:eastAsia="Verdana" w:hAnsi="Verdana" w:cs="Verdana"/>
          <w:b/>
          <w:bCs/>
          <w:sz w:val="22"/>
          <w:szCs w:val="22"/>
          <w:lang w:val="fr-BE"/>
        </w:rPr>
        <w:t xml:space="preserve">statut </w:t>
      </w:r>
      <w:r w:rsidRPr="000D1DD9">
        <w:rPr>
          <w:rFonts w:ascii="Verdana" w:eastAsia="Verdana" w:hAnsi="Verdana" w:cs="Verdana"/>
          <w:b/>
          <w:bCs/>
          <w:sz w:val="22"/>
          <w:szCs w:val="22"/>
          <w:lang w:val="fr-BE"/>
        </w:rPr>
        <w:t xml:space="preserve">et la rémunération de l'administrateur, le </w:t>
      </w:r>
      <w:r w:rsidR="00B5715C" w:rsidRPr="000D1DD9">
        <w:rPr>
          <w:rFonts w:ascii="Verdana" w:eastAsia="Verdana" w:hAnsi="Verdana" w:cs="Verdana"/>
          <w:b/>
          <w:bCs/>
          <w:sz w:val="22"/>
          <w:szCs w:val="22"/>
          <w:lang w:val="fr-BE"/>
        </w:rPr>
        <w:t xml:space="preserve">code déontologique, </w:t>
      </w:r>
      <w:r w:rsidRPr="000D1DD9">
        <w:rPr>
          <w:rFonts w:ascii="Verdana" w:eastAsia="Verdana" w:hAnsi="Verdana" w:cs="Verdana"/>
          <w:b/>
          <w:bCs/>
          <w:sz w:val="22"/>
          <w:szCs w:val="22"/>
          <w:lang w:val="fr-BE"/>
        </w:rPr>
        <w:t xml:space="preserve">le </w:t>
      </w:r>
      <w:r w:rsidR="00B5715C" w:rsidRPr="000D1DD9">
        <w:rPr>
          <w:rFonts w:ascii="Verdana" w:eastAsia="Verdana" w:hAnsi="Verdana" w:cs="Verdana"/>
          <w:b/>
          <w:bCs/>
          <w:sz w:val="22"/>
          <w:szCs w:val="22"/>
          <w:lang w:val="fr-BE"/>
        </w:rPr>
        <w:t xml:space="preserve">CRBP, </w:t>
      </w:r>
      <w:r w:rsidRPr="000D1DD9">
        <w:rPr>
          <w:rFonts w:ascii="Verdana" w:eastAsia="Verdana" w:hAnsi="Verdana" w:cs="Verdana"/>
          <w:b/>
          <w:bCs/>
          <w:sz w:val="22"/>
          <w:szCs w:val="22"/>
          <w:lang w:val="fr-BE"/>
        </w:rPr>
        <w:t xml:space="preserve">la </w:t>
      </w:r>
      <w:r w:rsidR="00B5715C" w:rsidRPr="000D1DD9">
        <w:rPr>
          <w:rFonts w:ascii="Verdana" w:eastAsia="Verdana" w:hAnsi="Verdana" w:cs="Verdana"/>
          <w:b/>
          <w:bCs/>
          <w:sz w:val="22"/>
          <w:szCs w:val="22"/>
          <w:lang w:val="fr-BE"/>
        </w:rPr>
        <w:t xml:space="preserve">formation </w:t>
      </w:r>
      <w:r w:rsidRPr="000D1DD9">
        <w:rPr>
          <w:rFonts w:ascii="Verdana" w:eastAsia="Verdana" w:hAnsi="Verdana" w:cs="Verdana"/>
          <w:b/>
          <w:bCs/>
          <w:sz w:val="22"/>
          <w:szCs w:val="22"/>
          <w:lang w:val="fr-BE"/>
        </w:rPr>
        <w:t xml:space="preserve">des </w:t>
      </w:r>
      <w:r w:rsidR="00B5715C" w:rsidRPr="000D1DD9">
        <w:rPr>
          <w:rFonts w:ascii="Verdana" w:eastAsia="Verdana" w:hAnsi="Verdana" w:cs="Verdana"/>
          <w:b/>
          <w:bCs/>
          <w:sz w:val="22"/>
          <w:szCs w:val="22"/>
          <w:lang w:val="fr-BE"/>
        </w:rPr>
        <w:t xml:space="preserve">administrateurs, </w:t>
      </w:r>
      <w:r w:rsidRPr="000D1DD9">
        <w:rPr>
          <w:rFonts w:ascii="Verdana" w:eastAsia="Verdana" w:hAnsi="Verdana" w:cs="Verdana"/>
          <w:b/>
          <w:bCs/>
          <w:sz w:val="22"/>
          <w:szCs w:val="22"/>
          <w:lang w:val="fr-BE"/>
        </w:rPr>
        <w:t xml:space="preserve">la </w:t>
      </w:r>
      <w:r w:rsidR="00B5715C" w:rsidRPr="000D1DD9">
        <w:rPr>
          <w:rFonts w:ascii="Verdana" w:eastAsia="Verdana" w:hAnsi="Verdana" w:cs="Verdana"/>
          <w:b/>
          <w:bCs/>
          <w:sz w:val="22"/>
          <w:szCs w:val="22"/>
          <w:lang w:val="fr-BE"/>
        </w:rPr>
        <w:t xml:space="preserve">liste de contrôle </w:t>
      </w:r>
      <w:r w:rsidRPr="000D1DD9">
        <w:rPr>
          <w:rFonts w:ascii="Verdana" w:eastAsia="Verdana" w:hAnsi="Verdana" w:cs="Verdana"/>
          <w:b/>
          <w:bCs/>
          <w:sz w:val="22"/>
          <w:szCs w:val="22"/>
          <w:lang w:val="fr-BE"/>
        </w:rPr>
        <w:t xml:space="preserve">utilisée par les </w:t>
      </w:r>
      <w:r w:rsidR="00B5715C" w:rsidRPr="000D1DD9">
        <w:rPr>
          <w:rFonts w:ascii="Verdana" w:eastAsia="Verdana" w:hAnsi="Verdana" w:cs="Verdana"/>
          <w:b/>
          <w:bCs/>
          <w:sz w:val="22"/>
          <w:szCs w:val="22"/>
          <w:lang w:val="fr-BE"/>
        </w:rPr>
        <w:t xml:space="preserve">juges de paix </w:t>
      </w:r>
      <w:r w:rsidRPr="000D1DD9">
        <w:rPr>
          <w:rFonts w:ascii="Verdana" w:eastAsia="Verdana" w:hAnsi="Verdana" w:cs="Verdana"/>
          <w:b/>
          <w:bCs/>
          <w:sz w:val="22"/>
          <w:szCs w:val="22"/>
          <w:lang w:val="fr-BE"/>
        </w:rPr>
        <w:t>qui retirent le droit de vote ?</w:t>
      </w:r>
    </w:p>
    <w:p w14:paraId="5645D5F3" w14:textId="77777777" w:rsidR="00BC76F6" w:rsidRPr="000D1DD9" w:rsidRDefault="00BC76F6" w:rsidP="00BC76F6">
      <w:pPr>
        <w:pStyle w:val="Lijstalinea"/>
        <w:numPr>
          <w:ilvl w:val="0"/>
          <w:numId w:val="11"/>
        </w:numPr>
        <w:spacing w:after="0" w:line="240" w:lineRule="auto"/>
        <w:rPr>
          <w:rFonts w:ascii="Verdana" w:eastAsia="Verdana" w:hAnsi="Verdana" w:cs="Verdana"/>
          <w:sz w:val="22"/>
          <w:szCs w:val="22"/>
          <w:lang w:val="fr-BE"/>
        </w:rPr>
      </w:pPr>
      <w:r w:rsidRPr="000D1DD9">
        <w:rPr>
          <w:rFonts w:ascii="Verdana" w:eastAsia="Verdana" w:hAnsi="Verdana" w:cs="Verdana"/>
          <w:sz w:val="22"/>
          <w:szCs w:val="22"/>
          <w:lang w:val="fr-BE"/>
        </w:rPr>
        <w:t>Dans la déclaration gouvernementale, les avantages dans le cadre de l'assurance maladie sont exonérés, mais ce n'est pas le cas dans le cadre de la rémunération des administrateurs ? Malheureusement, l'arrêté royal, https://www.ejustice.just.fgov.be/cgi/article_body(...), stipule : « Revenu de base auquel s'applique la rémunération forfaitaire :</w:t>
      </w:r>
    </w:p>
    <w:p w14:paraId="502DA9D6" w14:textId="77777777" w:rsidR="00BC76F6" w:rsidRPr="000D1DD9" w:rsidRDefault="00BC76F6" w:rsidP="00BC76F6">
      <w:pPr>
        <w:spacing w:after="0" w:line="240" w:lineRule="auto"/>
        <w:ind w:left="1440"/>
        <w:rPr>
          <w:rFonts w:ascii="Verdana" w:eastAsia="Verdana" w:hAnsi="Verdana" w:cs="Verdana"/>
          <w:sz w:val="22"/>
          <w:szCs w:val="22"/>
          <w:lang w:val="fr-BE"/>
        </w:rPr>
      </w:pPr>
    </w:p>
    <w:p w14:paraId="02D9596D" w14:textId="77777777"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 xml:space="preserve">11° les allocations pour enfants ou orphelins de la personne protégée elle-même ; </w:t>
      </w:r>
    </w:p>
    <w:p w14:paraId="6748668A" w14:textId="77777777"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 xml:space="preserve">12° les revenus de remplacement tels que les allocations de chômage, de maladie et d'invalidité, les allocations complémentaires pour cause de maladie, d'invalidité, de maladie professionnelle ou d'accident du travail et les indemnités de remplacement de revenus, à l'exception des allocations destinées à compenser une dépense spécifique ; </w:t>
      </w:r>
    </w:p>
    <w:p w14:paraId="5F92A1F6" w14:textId="77777777"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 xml:space="preserve">13° le revenu d'intégration sociale tel que prévu par la loi du 26 mai 2002 relative au droit à l'intégration sociale ; </w:t>
      </w:r>
    </w:p>
    <w:p w14:paraId="175C4571" w14:textId="77777777"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 xml:space="preserve">14° l'allocation d'intégration pour les personnes handicapées, le budget de soins et la partie librement disponible des allocations pour les personnes handicapées, à l'exception des allocations destinées à compenser une dépense spécifique ; </w:t>
      </w:r>
    </w:p>
    <w:p w14:paraId="49E0C92E" w14:textId="77777777"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 xml:space="preserve">15° les allocations aux personnes âgées, telles que le budget de soins pour les personnes âgées dépendantes et la garantie de revenus pour les personnes âgées, à l'exception des allocations destinées à compenser une dépense spécifique ; </w:t>
      </w:r>
    </w:p>
    <w:p w14:paraId="4F92CE57" w14:textId="77777777"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 xml:space="preserve">16° les allocations d'une assurance soins de santé, à l'exception du remboursement de prestations médicales ou des allocations destinées à compenser une dépense spécifique ; </w:t>
      </w:r>
    </w:p>
    <w:p w14:paraId="61CD30AC" w14:textId="4E02B745" w:rsidR="00BC76F6" w:rsidRPr="000D1DD9" w:rsidRDefault="00BC76F6" w:rsidP="00BC76F6">
      <w:pPr>
        <w:spacing w:after="0" w:line="240" w:lineRule="auto"/>
        <w:ind w:left="1440"/>
        <w:rPr>
          <w:rFonts w:ascii="Verdana" w:eastAsia="Verdana" w:hAnsi="Verdana" w:cs="Verdana"/>
          <w:sz w:val="22"/>
          <w:szCs w:val="22"/>
          <w:lang w:val="fr-BE"/>
        </w:rPr>
      </w:pPr>
      <w:r w:rsidRPr="000D1DD9">
        <w:rPr>
          <w:rFonts w:ascii="Verdana" w:eastAsia="Verdana" w:hAnsi="Verdana" w:cs="Verdana"/>
          <w:sz w:val="22"/>
          <w:szCs w:val="22"/>
          <w:lang w:val="fr-BE"/>
        </w:rPr>
        <w:t>17° le revenu d'intégration sociale pour les étudiants ou autres allocations d'études pour la personne protégée ; »</w:t>
      </w:r>
    </w:p>
    <w:p w14:paraId="7099498A" w14:textId="77777777" w:rsidR="00BC76F6" w:rsidRPr="000D1DD9" w:rsidRDefault="00BC76F6" w:rsidP="00BC76F6">
      <w:pPr>
        <w:spacing w:after="0" w:line="240" w:lineRule="auto"/>
        <w:ind w:left="1440"/>
        <w:rPr>
          <w:rFonts w:ascii="Verdana" w:eastAsia="Verdana" w:hAnsi="Verdana" w:cs="Verdana"/>
          <w:sz w:val="22"/>
          <w:szCs w:val="22"/>
          <w:lang w:val="fr-BE"/>
        </w:rPr>
      </w:pPr>
    </w:p>
    <w:p w14:paraId="7D4A1FF0" w14:textId="00FDA3D5" w:rsidR="00BC76F6" w:rsidRPr="000D1DD9" w:rsidRDefault="00BC76F6" w:rsidP="00BC76F6">
      <w:pPr>
        <w:pStyle w:val="Lijstalinea"/>
        <w:numPr>
          <w:ilvl w:val="0"/>
          <w:numId w:val="13"/>
        </w:numPr>
        <w:spacing w:after="0" w:line="240" w:lineRule="auto"/>
        <w:rPr>
          <w:rFonts w:ascii="Verdana" w:eastAsia="Verdana" w:hAnsi="Verdana" w:cs="Verdana"/>
          <w:b/>
          <w:bCs/>
          <w:sz w:val="22"/>
          <w:szCs w:val="22"/>
          <w:lang w:val="fr-BE"/>
        </w:rPr>
      </w:pPr>
      <w:r w:rsidRPr="000D1DD9">
        <w:rPr>
          <w:rFonts w:ascii="Verdana" w:eastAsia="Verdana" w:hAnsi="Verdana" w:cs="Verdana"/>
          <w:b/>
          <w:bCs/>
          <w:sz w:val="22"/>
          <w:szCs w:val="22"/>
          <w:lang w:val="fr-BE"/>
        </w:rPr>
        <w:t>L'IVT et l'IT ne constituent pas des revenus et doivent donc être exonérés afin de pouvoir être utilisés au maximum pour la participation et l'intégration sur la base de l'égalité des personnes sans handicap.</w:t>
      </w:r>
    </w:p>
    <w:p w14:paraId="345680C7" w14:textId="0B78F9B1" w:rsidR="00B5715C" w:rsidRPr="000D1DD9" w:rsidRDefault="00B5715C" w:rsidP="00B5715C">
      <w:pPr>
        <w:spacing w:after="0" w:line="240" w:lineRule="auto"/>
        <w:rPr>
          <w:rFonts w:ascii="Verdana" w:eastAsia="Verdana" w:hAnsi="Verdana" w:cs="Verdana"/>
          <w:sz w:val="22"/>
          <w:szCs w:val="22"/>
          <w:lang w:val="fr-BE"/>
        </w:rPr>
      </w:pPr>
    </w:p>
    <w:p w14:paraId="5AA3443E" w14:textId="77777777" w:rsidR="00BC76F6" w:rsidRPr="000D1DD9" w:rsidRDefault="00B5715C" w:rsidP="00B5715C">
      <w:pPr>
        <w:spacing w:after="0" w:line="240" w:lineRule="auto"/>
        <w:rPr>
          <w:rFonts w:ascii="Verdana" w:eastAsia="Verdana" w:hAnsi="Verdana" w:cs="Verdana"/>
          <w:sz w:val="22"/>
          <w:szCs w:val="22"/>
          <w:lang w:val="fr-BE"/>
        </w:rPr>
      </w:pPr>
      <w:r w:rsidRPr="000D1DD9">
        <w:rPr>
          <w:rFonts w:ascii="Verdana" w:eastAsia="Verdana" w:hAnsi="Verdana" w:cs="Verdana"/>
          <w:sz w:val="22"/>
          <w:szCs w:val="22"/>
          <w:lang w:val="fr-BE"/>
        </w:rPr>
        <w:t xml:space="preserve">- prisons psychiatriques : état des lieux </w:t>
      </w:r>
      <w:r w:rsidR="00BC76F6" w:rsidRPr="000D1DD9">
        <w:rPr>
          <w:rFonts w:ascii="Verdana" w:eastAsia="Verdana" w:hAnsi="Verdana" w:cs="Verdana"/>
          <w:sz w:val="22"/>
          <w:szCs w:val="22"/>
          <w:lang w:val="fr-BE"/>
        </w:rPr>
        <w:t xml:space="preserve">? </w:t>
      </w:r>
    </w:p>
    <w:p w14:paraId="4B6C2039" w14:textId="77777777" w:rsidR="00BC76F6" w:rsidRPr="000D1DD9" w:rsidRDefault="00BC76F6" w:rsidP="00B5715C">
      <w:pPr>
        <w:spacing w:after="0" w:line="240" w:lineRule="auto"/>
        <w:rPr>
          <w:rFonts w:ascii="Verdana" w:eastAsia="Verdana" w:hAnsi="Verdana" w:cs="Verdana"/>
          <w:sz w:val="22"/>
          <w:szCs w:val="22"/>
          <w:lang w:val="fr-BE"/>
        </w:rPr>
      </w:pPr>
    </w:p>
    <w:p w14:paraId="1AC5C24C" w14:textId="400D55D9" w:rsidR="00B5715C" w:rsidRPr="000D1DD9" w:rsidRDefault="00B5715C" w:rsidP="00BC76F6">
      <w:pPr>
        <w:pStyle w:val="Lijstalinea"/>
        <w:numPr>
          <w:ilvl w:val="0"/>
          <w:numId w:val="11"/>
        </w:numPr>
        <w:spacing w:after="0" w:line="240" w:lineRule="auto"/>
        <w:rPr>
          <w:rFonts w:ascii="Verdana" w:eastAsia="Verdana" w:hAnsi="Verdana" w:cs="Verdana"/>
          <w:b/>
          <w:bCs/>
          <w:sz w:val="22"/>
          <w:szCs w:val="22"/>
          <w:lang w:val="fr-BE"/>
        </w:rPr>
      </w:pPr>
      <w:r w:rsidRPr="000D1DD9">
        <w:rPr>
          <w:rFonts w:ascii="Verdana" w:eastAsia="Verdana" w:hAnsi="Verdana" w:cs="Verdana"/>
          <w:b/>
          <w:bCs/>
          <w:sz w:val="22"/>
          <w:szCs w:val="22"/>
          <w:lang w:val="fr-BE"/>
        </w:rPr>
        <w:t>Soutien aux personnes handicapées : langue des signes, interprètes...</w:t>
      </w:r>
    </w:p>
    <w:p w14:paraId="08E9E028" w14:textId="215B258C" w:rsidR="00BC76F6" w:rsidRPr="000D1DD9" w:rsidRDefault="00655D12" w:rsidP="00BC76F6">
      <w:pPr>
        <w:pStyle w:val="Lijstalinea"/>
        <w:numPr>
          <w:ilvl w:val="0"/>
          <w:numId w:val="11"/>
        </w:numPr>
        <w:spacing w:after="0" w:line="240" w:lineRule="auto"/>
        <w:rPr>
          <w:rFonts w:ascii="Verdana" w:eastAsia="Verdana" w:hAnsi="Verdana" w:cs="Verdana"/>
          <w:b/>
          <w:bCs/>
          <w:sz w:val="22"/>
          <w:szCs w:val="22"/>
          <w:lang w:val="fr-BE"/>
        </w:rPr>
      </w:pPr>
      <w:r w:rsidRPr="000D1DD9">
        <w:rPr>
          <w:rFonts w:ascii="Verdana" w:eastAsia="Verdana" w:hAnsi="Verdana" w:cs="Verdana"/>
          <w:b/>
          <w:bCs/>
          <w:sz w:val="22"/>
          <w:szCs w:val="22"/>
          <w:lang w:val="fr-BE"/>
        </w:rPr>
        <w:t xml:space="preserve">Comment lutter contre </w:t>
      </w:r>
      <w:r w:rsidR="00BC76F6" w:rsidRPr="000D1DD9">
        <w:rPr>
          <w:rFonts w:ascii="Verdana" w:eastAsia="Verdana" w:hAnsi="Verdana" w:cs="Verdana"/>
          <w:b/>
          <w:bCs/>
          <w:sz w:val="22"/>
          <w:szCs w:val="22"/>
          <w:lang w:val="fr-BE"/>
        </w:rPr>
        <w:t xml:space="preserve">la surpopulation </w:t>
      </w:r>
      <w:r w:rsidRPr="000D1DD9">
        <w:rPr>
          <w:rFonts w:ascii="Verdana" w:eastAsia="Verdana" w:hAnsi="Verdana" w:cs="Verdana"/>
          <w:b/>
          <w:bCs/>
          <w:sz w:val="22"/>
          <w:szCs w:val="22"/>
          <w:lang w:val="fr-BE"/>
        </w:rPr>
        <w:t>afin que chaque PMH reçoive les soins qu'il mérite ?</w:t>
      </w:r>
    </w:p>
    <w:p w14:paraId="1486661B" w14:textId="77777777" w:rsidR="00BC76F6" w:rsidRPr="000D1DD9" w:rsidRDefault="00BC76F6" w:rsidP="00BC76F6">
      <w:pPr>
        <w:pStyle w:val="Lijstalinea"/>
        <w:spacing w:after="0" w:line="240" w:lineRule="auto"/>
        <w:rPr>
          <w:rFonts w:ascii="Verdana" w:eastAsia="Verdana" w:hAnsi="Verdana" w:cs="Verdana"/>
          <w:sz w:val="22"/>
          <w:szCs w:val="22"/>
          <w:lang w:val="fr-BE"/>
        </w:rPr>
      </w:pPr>
    </w:p>
    <w:p w14:paraId="17B53CF9" w14:textId="77777777" w:rsidR="00BC76F6" w:rsidRPr="000D1DD9" w:rsidRDefault="00B5715C" w:rsidP="00B5715C">
      <w:pPr>
        <w:spacing w:after="0" w:line="240" w:lineRule="auto"/>
        <w:rPr>
          <w:rFonts w:ascii="Verdana" w:eastAsia="Verdana" w:hAnsi="Verdana" w:cs="Verdana"/>
          <w:sz w:val="22"/>
          <w:szCs w:val="22"/>
          <w:lang w:val="fr-BE"/>
        </w:rPr>
      </w:pPr>
      <w:r w:rsidRPr="000D1DD9">
        <w:rPr>
          <w:rFonts w:ascii="Verdana" w:eastAsia="Verdana" w:hAnsi="Verdana" w:cs="Verdana"/>
          <w:sz w:val="22"/>
          <w:szCs w:val="22"/>
          <w:lang w:val="fr-BE"/>
        </w:rPr>
        <w:t>- Offrir un accès équivalent à la justice aux personnes handicapées</w:t>
      </w:r>
      <w:r w:rsidR="00BC76F6" w:rsidRPr="000D1DD9">
        <w:rPr>
          <w:rFonts w:ascii="Verdana" w:eastAsia="Verdana" w:hAnsi="Verdana" w:cs="Verdana"/>
          <w:sz w:val="22"/>
          <w:szCs w:val="22"/>
          <w:lang w:val="fr-BE"/>
        </w:rPr>
        <w:t>.</w:t>
      </w:r>
    </w:p>
    <w:p w14:paraId="1646626E" w14:textId="77777777" w:rsidR="00BC76F6" w:rsidRPr="000D1DD9" w:rsidRDefault="00BC76F6" w:rsidP="00B5715C">
      <w:pPr>
        <w:spacing w:after="0" w:line="240" w:lineRule="auto"/>
        <w:rPr>
          <w:rFonts w:ascii="Verdana" w:eastAsia="Verdana" w:hAnsi="Verdana" w:cs="Verdana"/>
          <w:sz w:val="22"/>
          <w:szCs w:val="22"/>
          <w:lang w:val="fr-BE"/>
        </w:rPr>
      </w:pPr>
    </w:p>
    <w:p w14:paraId="3A61179D" w14:textId="1C66536A" w:rsidR="00B5715C" w:rsidRPr="000D1DD9" w:rsidRDefault="00B5715C" w:rsidP="00BC76F6">
      <w:pPr>
        <w:pStyle w:val="Lijstalinea"/>
        <w:numPr>
          <w:ilvl w:val="0"/>
          <w:numId w:val="12"/>
        </w:numPr>
        <w:spacing w:after="0" w:line="240" w:lineRule="auto"/>
        <w:rPr>
          <w:rFonts w:ascii="Verdana" w:eastAsia="Verdana" w:hAnsi="Verdana" w:cs="Verdana"/>
          <w:b/>
          <w:bCs/>
          <w:sz w:val="22"/>
          <w:szCs w:val="22"/>
          <w:lang w:val="fr-BE"/>
        </w:rPr>
      </w:pPr>
      <w:r w:rsidRPr="000D1DD9">
        <w:rPr>
          <w:rFonts w:ascii="Verdana" w:eastAsia="Verdana" w:hAnsi="Verdana" w:cs="Verdana"/>
          <w:b/>
          <w:bCs/>
          <w:sz w:val="22"/>
          <w:szCs w:val="22"/>
          <w:lang w:val="fr-BE"/>
        </w:rPr>
        <w:t xml:space="preserve">Prévoir des aménagements raisonnables et renforcer la fonction de juge de paix afin de pouvoir mettre en place une protection adaptée à la personne handicapée.  </w:t>
      </w:r>
    </w:p>
    <w:p w14:paraId="791256F5" w14:textId="61F67A5E" w:rsidR="00655D12" w:rsidRPr="00655D12" w:rsidRDefault="00655D12" w:rsidP="00655D12">
      <w:pPr>
        <w:pStyle w:val="Lijstalinea"/>
        <w:numPr>
          <w:ilvl w:val="0"/>
          <w:numId w:val="12"/>
        </w:numPr>
        <w:spacing w:after="0" w:line="240" w:lineRule="auto"/>
        <w:rPr>
          <w:rFonts w:ascii="Verdana" w:eastAsia="Verdana" w:hAnsi="Verdana" w:cs="Verdana"/>
          <w:sz w:val="22"/>
          <w:szCs w:val="22"/>
          <w:lang w:val="fr-BE"/>
        </w:rPr>
      </w:pPr>
      <w:r w:rsidRPr="00655D12">
        <w:rPr>
          <w:rFonts w:ascii="Verdana" w:eastAsia="Verdana" w:hAnsi="Verdana" w:cs="Verdana"/>
          <w:sz w:val="22"/>
          <w:szCs w:val="22"/>
          <w:lang w:val="fr-BE"/>
        </w:rPr>
        <w:t>Rapport du Comité des Nations unies à la Belgique. 26. Le Comité constate avec préoccupation :</w:t>
      </w:r>
    </w:p>
    <w:p w14:paraId="4F9EF1FC" w14:textId="77777777" w:rsidR="00655D12" w:rsidRPr="00655D12" w:rsidRDefault="00655D12" w:rsidP="00655D12">
      <w:pPr>
        <w:pStyle w:val="Lijstalinea"/>
        <w:spacing w:after="0" w:line="240" w:lineRule="auto"/>
        <w:rPr>
          <w:rFonts w:ascii="Verdana" w:eastAsia="Verdana" w:hAnsi="Verdana" w:cs="Verdana"/>
          <w:sz w:val="22"/>
          <w:szCs w:val="22"/>
          <w:lang w:val="fr-BE"/>
        </w:rPr>
      </w:pPr>
    </w:p>
    <w:p w14:paraId="1FB6297D" w14:textId="77777777" w:rsidR="00655D12" w:rsidRPr="00655D12" w:rsidRDefault="00655D12" w:rsidP="00655D12">
      <w:pPr>
        <w:spacing w:after="0" w:line="240" w:lineRule="auto"/>
        <w:ind w:left="1440"/>
        <w:rPr>
          <w:rFonts w:ascii="Verdana" w:eastAsia="Verdana" w:hAnsi="Verdana" w:cs="Verdana"/>
          <w:sz w:val="22"/>
          <w:szCs w:val="22"/>
          <w:lang w:val="fr-BE"/>
        </w:rPr>
      </w:pPr>
      <w:r w:rsidRPr="00655D12">
        <w:rPr>
          <w:rFonts w:ascii="Verdana" w:eastAsia="Verdana" w:hAnsi="Verdana" w:cs="Verdana"/>
          <w:sz w:val="22"/>
          <w:szCs w:val="22"/>
          <w:lang w:val="fr-BE"/>
        </w:rPr>
        <w:t xml:space="preserve">a) Que les aménagements procéduraux qui permettraient aux personnes handicapées de participer effectivement à toutes les procédures judiciaires, compte tenu de leur âge, de leur handicap et de leur genre, sont insuffisants ; b) Que les personnes sourdes ou malentendantes n’ont pas, en droit, la garantie de bénéficier gratuitement des services d’un interprète en langue des signes dans toutes les procédures légales ;  </w:t>
      </w:r>
    </w:p>
    <w:p w14:paraId="2A626B31" w14:textId="77777777" w:rsidR="00655D12" w:rsidRPr="00655D12" w:rsidRDefault="00655D12" w:rsidP="00655D12">
      <w:pPr>
        <w:spacing w:after="0" w:line="240" w:lineRule="auto"/>
        <w:ind w:left="1440"/>
        <w:rPr>
          <w:rFonts w:ascii="Verdana" w:eastAsia="Verdana" w:hAnsi="Verdana" w:cs="Verdana"/>
          <w:sz w:val="22"/>
          <w:szCs w:val="22"/>
          <w:lang w:val="fr-BE"/>
        </w:rPr>
      </w:pPr>
    </w:p>
    <w:p w14:paraId="1CB6F4EB" w14:textId="77777777" w:rsidR="00655D12" w:rsidRPr="00655D12" w:rsidRDefault="00655D12" w:rsidP="00655D12">
      <w:pPr>
        <w:spacing w:after="0" w:line="240" w:lineRule="auto"/>
        <w:ind w:left="1440"/>
        <w:rPr>
          <w:rFonts w:ascii="Verdana" w:eastAsia="Verdana" w:hAnsi="Verdana" w:cs="Verdana"/>
          <w:sz w:val="22"/>
          <w:szCs w:val="22"/>
          <w:lang w:val="fr-BE"/>
        </w:rPr>
      </w:pPr>
      <w:r w:rsidRPr="00655D12">
        <w:rPr>
          <w:rFonts w:ascii="Verdana" w:eastAsia="Verdana" w:hAnsi="Verdana" w:cs="Verdana"/>
          <w:sz w:val="22"/>
          <w:szCs w:val="22"/>
          <w:lang w:val="fr-BE"/>
        </w:rPr>
        <w:t xml:space="preserve">c) Que les personnes handicapées ne bénéficient plus automatiquement de l’aide juridictionnelle gratuite ;  </w:t>
      </w:r>
    </w:p>
    <w:p w14:paraId="31DEA51A" w14:textId="77777777" w:rsidR="00655D12" w:rsidRPr="00655D12" w:rsidRDefault="00655D12" w:rsidP="00655D12">
      <w:pPr>
        <w:spacing w:after="0" w:line="240" w:lineRule="auto"/>
        <w:ind w:left="1440"/>
        <w:rPr>
          <w:rFonts w:ascii="Verdana" w:eastAsia="Verdana" w:hAnsi="Verdana" w:cs="Verdana"/>
          <w:sz w:val="22"/>
          <w:szCs w:val="22"/>
          <w:lang w:val="fr-BE"/>
        </w:rPr>
      </w:pPr>
    </w:p>
    <w:p w14:paraId="4E8D100F" w14:textId="4570A618" w:rsidR="00655D12" w:rsidRPr="00655D12" w:rsidRDefault="00655D12" w:rsidP="00655D12">
      <w:pPr>
        <w:spacing w:after="0" w:line="240" w:lineRule="auto"/>
        <w:ind w:left="1440"/>
        <w:rPr>
          <w:rFonts w:ascii="Verdana" w:eastAsia="Verdana" w:hAnsi="Verdana" w:cs="Verdana"/>
          <w:sz w:val="22"/>
          <w:szCs w:val="22"/>
          <w:lang w:val="fr-BE"/>
        </w:rPr>
      </w:pPr>
      <w:r w:rsidRPr="00655D12">
        <w:rPr>
          <w:rFonts w:ascii="Verdana" w:eastAsia="Verdana" w:hAnsi="Verdana" w:cs="Verdana"/>
          <w:sz w:val="22"/>
          <w:szCs w:val="22"/>
          <w:lang w:val="fr-BE"/>
        </w:rPr>
        <w:t>d) Que le personnel judiciaire, notamment les juges, les greffiers et les magistrats, est souvent mal formé aux besoins individuels des personnes handicapées</w:t>
      </w:r>
    </w:p>
    <w:p w14:paraId="7905CD8F" w14:textId="77777777" w:rsidR="00BC76F6" w:rsidRPr="00655D12" w:rsidRDefault="00BC76F6" w:rsidP="00BC76F6">
      <w:pPr>
        <w:pStyle w:val="Lijstalinea"/>
        <w:spacing w:after="0" w:line="240" w:lineRule="auto"/>
        <w:rPr>
          <w:rFonts w:ascii="Verdana" w:eastAsia="Verdana" w:hAnsi="Verdana" w:cs="Verdana"/>
          <w:sz w:val="22"/>
          <w:szCs w:val="22"/>
          <w:lang w:val="fr-BE"/>
        </w:rPr>
      </w:pPr>
    </w:p>
    <w:p w14:paraId="39D3B3A2" w14:textId="77777777" w:rsidR="00B5715C" w:rsidRPr="000D1DD9" w:rsidRDefault="00B5715C" w:rsidP="00B5715C">
      <w:pPr>
        <w:spacing w:after="0" w:line="240" w:lineRule="auto"/>
        <w:rPr>
          <w:rFonts w:ascii="Verdana" w:eastAsia="Verdana" w:hAnsi="Verdana" w:cs="Verdana"/>
          <w:sz w:val="22"/>
          <w:szCs w:val="22"/>
          <w:lang w:val="fr-BE"/>
        </w:rPr>
      </w:pPr>
      <w:r w:rsidRPr="000D1DD9">
        <w:rPr>
          <w:rFonts w:ascii="Verdana" w:eastAsia="Verdana" w:hAnsi="Verdana" w:cs="Verdana"/>
          <w:sz w:val="22"/>
          <w:szCs w:val="22"/>
          <w:lang w:val="fr-BE"/>
        </w:rPr>
        <w:t>- Harmoniser la législation belge avec les recommandations de la CNUDPH et évaluer chaque nouvelle législation sous l'angle du handicap.</w:t>
      </w:r>
    </w:p>
    <w:p w14:paraId="51DB6B6B" w14:textId="77777777" w:rsidR="00BC76F6" w:rsidRPr="000D1DD9" w:rsidRDefault="00BC76F6" w:rsidP="00B5715C">
      <w:pPr>
        <w:spacing w:after="0" w:line="240" w:lineRule="auto"/>
        <w:rPr>
          <w:rFonts w:ascii="Verdana" w:eastAsia="Verdana" w:hAnsi="Verdana" w:cs="Verdana"/>
          <w:sz w:val="22"/>
          <w:szCs w:val="22"/>
          <w:lang w:val="fr-BE"/>
        </w:rPr>
      </w:pPr>
    </w:p>
    <w:p w14:paraId="55AEFDD7" w14:textId="0480BD78" w:rsidR="00BC76F6" w:rsidRPr="00AF14B0" w:rsidRDefault="00BC76F6" w:rsidP="00BC76F6">
      <w:pPr>
        <w:pStyle w:val="Lijstalinea"/>
        <w:numPr>
          <w:ilvl w:val="0"/>
          <w:numId w:val="12"/>
        </w:numPr>
        <w:spacing w:after="0" w:line="240" w:lineRule="auto"/>
        <w:rPr>
          <w:rFonts w:ascii="Verdana" w:eastAsia="Verdana" w:hAnsi="Verdana" w:cs="Verdana"/>
          <w:b/>
          <w:bCs/>
          <w:sz w:val="22"/>
          <w:szCs w:val="22"/>
          <w:lang w:val="nl-BE"/>
        </w:rPr>
      </w:pPr>
      <w:r w:rsidRPr="00AF14B0">
        <w:rPr>
          <w:rFonts w:ascii="Verdana" w:eastAsia="Verdana" w:hAnsi="Verdana" w:cs="Verdana"/>
          <w:b/>
          <w:bCs/>
          <w:sz w:val="22"/>
          <w:szCs w:val="22"/>
          <w:lang w:val="nl-BE"/>
        </w:rPr>
        <w:t xml:space="preserve">Assistance </w:t>
      </w:r>
      <w:proofErr w:type="spellStart"/>
      <w:r w:rsidRPr="00AF14B0">
        <w:rPr>
          <w:rFonts w:ascii="Verdana" w:eastAsia="Verdana" w:hAnsi="Verdana" w:cs="Verdana"/>
          <w:b/>
          <w:bCs/>
          <w:sz w:val="22"/>
          <w:szCs w:val="22"/>
          <w:lang w:val="nl-BE"/>
        </w:rPr>
        <w:t>plutôt</w:t>
      </w:r>
      <w:proofErr w:type="spellEnd"/>
      <w:r w:rsidRPr="00AF14B0">
        <w:rPr>
          <w:rFonts w:ascii="Verdana" w:eastAsia="Verdana" w:hAnsi="Verdana" w:cs="Verdana"/>
          <w:b/>
          <w:bCs/>
          <w:sz w:val="22"/>
          <w:szCs w:val="22"/>
          <w:lang w:val="nl-BE"/>
        </w:rPr>
        <w:t xml:space="preserve"> que </w:t>
      </w:r>
      <w:proofErr w:type="spellStart"/>
      <w:r w:rsidRPr="00AF14B0">
        <w:rPr>
          <w:rFonts w:ascii="Verdana" w:eastAsia="Verdana" w:hAnsi="Verdana" w:cs="Verdana"/>
          <w:b/>
          <w:bCs/>
          <w:sz w:val="22"/>
          <w:szCs w:val="22"/>
          <w:lang w:val="nl-BE"/>
        </w:rPr>
        <w:t>représentation</w:t>
      </w:r>
      <w:proofErr w:type="spellEnd"/>
      <w:r w:rsidRPr="00AF14B0">
        <w:rPr>
          <w:rFonts w:ascii="Verdana" w:eastAsia="Verdana" w:hAnsi="Verdana" w:cs="Verdana"/>
          <w:b/>
          <w:bCs/>
          <w:sz w:val="22"/>
          <w:szCs w:val="22"/>
          <w:lang w:val="nl-BE"/>
        </w:rPr>
        <w:t>.</w:t>
      </w:r>
    </w:p>
    <w:p w14:paraId="1CB5263A" w14:textId="77777777" w:rsidR="00BC76F6" w:rsidRPr="00655D12" w:rsidRDefault="00BC76F6" w:rsidP="00BC76F6">
      <w:pPr>
        <w:spacing w:after="0" w:line="240" w:lineRule="auto"/>
        <w:rPr>
          <w:rFonts w:ascii="Verdana" w:eastAsia="Verdana" w:hAnsi="Verdana" w:cs="Verdana"/>
          <w:sz w:val="22"/>
          <w:szCs w:val="22"/>
          <w:lang w:val="nl-BE"/>
        </w:rPr>
      </w:pPr>
    </w:p>
    <w:p w14:paraId="6A3E5C6A" w14:textId="7D965E6F" w:rsidR="00BC76F6" w:rsidRPr="000D1DD9" w:rsidRDefault="00BC76F6" w:rsidP="00BC76F6">
      <w:pPr>
        <w:spacing w:after="0" w:line="240" w:lineRule="auto"/>
        <w:rPr>
          <w:rFonts w:ascii="Verdana" w:eastAsia="Verdana" w:hAnsi="Verdana" w:cs="Verdana"/>
          <w:sz w:val="22"/>
          <w:szCs w:val="22"/>
          <w:lang w:val="fr-BE"/>
        </w:rPr>
      </w:pPr>
      <w:r w:rsidRPr="000D1DD9">
        <w:rPr>
          <w:rFonts w:ascii="Verdana" w:eastAsia="Verdana" w:hAnsi="Verdana" w:cs="Verdana"/>
          <w:sz w:val="22"/>
          <w:szCs w:val="22"/>
          <w:lang w:val="fr-BE"/>
        </w:rPr>
        <w:t>- Statut des aidants proches, voir notre note de position : https://ph.belgium.be/resource/static/files/Notes%20de%20position/2015-09-positienota-mantelzorg.pdf</w:t>
      </w:r>
    </w:p>
    <w:p w14:paraId="06673B24" w14:textId="77777777" w:rsidR="00BC76F6" w:rsidRPr="000D1DD9" w:rsidRDefault="00BC76F6" w:rsidP="00BC76F6">
      <w:pPr>
        <w:pStyle w:val="Lijstalinea"/>
        <w:spacing w:after="0" w:line="240" w:lineRule="auto"/>
        <w:rPr>
          <w:rFonts w:ascii="Verdana" w:eastAsia="Verdana" w:hAnsi="Verdana" w:cs="Verdana"/>
          <w:sz w:val="22"/>
          <w:szCs w:val="22"/>
          <w:lang w:val="fr-BE"/>
        </w:rPr>
      </w:pPr>
    </w:p>
    <w:p w14:paraId="6EAD1ABE" w14:textId="099F2047" w:rsidR="00B5715C" w:rsidRPr="000D1DD9" w:rsidRDefault="00B5715C" w:rsidP="00B5715C">
      <w:pPr>
        <w:tabs>
          <w:tab w:val="left" w:pos="1320"/>
        </w:tabs>
        <w:rPr>
          <w:rFonts w:ascii="Verdana" w:eastAsia="Verdana" w:hAnsi="Verdana" w:cs="Verdana"/>
          <w:sz w:val="22"/>
          <w:szCs w:val="22"/>
          <w:lang w:val="fr-BE"/>
        </w:rPr>
      </w:pPr>
      <w:r w:rsidRPr="000D1DD9">
        <w:rPr>
          <w:rFonts w:ascii="Verdana" w:eastAsia="Verdana" w:hAnsi="Verdana" w:cs="Verdana"/>
          <w:sz w:val="22"/>
          <w:szCs w:val="22"/>
          <w:lang w:val="fr-BE"/>
        </w:rPr>
        <w:t>- Réviser le formalisme des actes notariés : certaines dispositions datant de 1803 conduisent à des situations discriminatoires pour certaines catégories de personnes handicapées.</w:t>
      </w:r>
    </w:p>
    <w:p w14:paraId="3FA12D9B" w14:textId="056AC582" w:rsidR="00B5715C" w:rsidRPr="000D1DD9" w:rsidRDefault="00655D12" w:rsidP="00B5715C">
      <w:pPr>
        <w:tabs>
          <w:tab w:val="left" w:pos="1320"/>
        </w:tabs>
        <w:rPr>
          <w:rFonts w:ascii="Verdana" w:hAnsi="Verdana"/>
          <w:sz w:val="22"/>
          <w:szCs w:val="22"/>
          <w:lang w:val="fr-BE"/>
        </w:rPr>
      </w:pPr>
      <w:r w:rsidRPr="000D1DD9">
        <w:rPr>
          <w:rFonts w:ascii="Verdana" w:hAnsi="Verdana"/>
          <w:sz w:val="22"/>
          <w:szCs w:val="22"/>
          <w:lang w:val="fr-BE"/>
        </w:rPr>
        <w:t>- Garantir que les données personnelles relatives à la santé et à la réadaptation soient protégées contre toute utilisation autre que celle pour laquelle elles ont été collectées.</w:t>
      </w:r>
    </w:p>
    <w:p w14:paraId="55F24C20" w14:textId="391D17AD" w:rsidR="00655D12" w:rsidRPr="000D1DD9" w:rsidRDefault="00655D12" w:rsidP="00655D12">
      <w:pPr>
        <w:tabs>
          <w:tab w:val="left" w:pos="1320"/>
        </w:tabs>
        <w:rPr>
          <w:rFonts w:ascii="Verdana" w:hAnsi="Verdana"/>
          <w:sz w:val="22"/>
          <w:szCs w:val="22"/>
          <w:lang w:val="fr-BE"/>
        </w:rPr>
      </w:pPr>
      <w:r w:rsidRPr="000D1DD9">
        <w:rPr>
          <w:rFonts w:ascii="Verdana" w:hAnsi="Verdana"/>
          <w:sz w:val="22"/>
          <w:szCs w:val="22"/>
          <w:lang w:val="fr-BE"/>
        </w:rPr>
        <w:t>- Article 100, § 1er, de la loi relative à l'assurance obligatoire des soins de santé et des indemnités coordonnée le 14 juillet 1994. En d'autres termes, seules les personnes socialement assurées qui disposaient d'une capacité de gain suffisante au moment de leur entrée sur le marché du travail et qui sont victimes d'une nouvelle affection – ou d'une aggravation d'une affection existante – dont les lésions ou les troubles fonctionnels ont réduit leur capacité de gain de manière significative (à un tiers ou moins d'un tiers), les obligeant à cesser leur activité.</w:t>
      </w:r>
    </w:p>
    <w:sectPr w:rsidR="00655D12" w:rsidRPr="000D1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2568"/>
    <w:multiLevelType w:val="hybridMultilevel"/>
    <w:tmpl w:val="5B7E6B02"/>
    <w:lvl w:ilvl="0" w:tplc="B5FC3C42">
      <w:start w:val="1"/>
      <w:numFmt w:val="bullet"/>
      <w:lvlText w:val="-"/>
      <w:lvlJc w:val="left"/>
      <w:pPr>
        <w:ind w:left="720" w:hanging="360"/>
      </w:pPr>
      <w:rPr>
        <w:rFonts w:ascii="Aptos" w:hAnsi="Aptos" w:hint="default"/>
      </w:rPr>
    </w:lvl>
    <w:lvl w:ilvl="1" w:tplc="2196B818">
      <w:start w:val="1"/>
      <w:numFmt w:val="bullet"/>
      <w:lvlText w:val="o"/>
      <w:lvlJc w:val="left"/>
      <w:pPr>
        <w:ind w:left="1440" w:hanging="360"/>
      </w:pPr>
      <w:rPr>
        <w:rFonts w:ascii="Courier New" w:hAnsi="Courier New" w:hint="default"/>
      </w:rPr>
    </w:lvl>
    <w:lvl w:ilvl="2" w:tplc="DE120244">
      <w:start w:val="1"/>
      <w:numFmt w:val="bullet"/>
      <w:lvlText w:val=""/>
      <w:lvlJc w:val="left"/>
      <w:pPr>
        <w:ind w:left="2160" w:hanging="360"/>
      </w:pPr>
      <w:rPr>
        <w:rFonts w:ascii="Wingdings" w:hAnsi="Wingdings" w:hint="default"/>
      </w:rPr>
    </w:lvl>
    <w:lvl w:ilvl="3" w:tplc="5C1894E0">
      <w:start w:val="1"/>
      <w:numFmt w:val="bullet"/>
      <w:lvlText w:val=""/>
      <w:lvlJc w:val="left"/>
      <w:pPr>
        <w:ind w:left="2880" w:hanging="360"/>
      </w:pPr>
      <w:rPr>
        <w:rFonts w:ascii="Symbol" w:hAnsi="Symbol" w:hint="default"/>
      </w:rPr>
    </w:lvl>
    <w:lvl w:ilvl="4" w:tplc="FF32D46E">
      <w:start w:val="1"/>
      <w:numFmt w:val="bullet"/>
      <w:lvlText w:val="o"/>
      <w:lvlJc w:val="left"/>
      <w:pPr>
        <w:ind w:left="3600" w:hanging="360"/>
      </w:pPr>
      <w:rPr>
        <w:rFonts w:ascii="Courier New" w:hAnsi="Courier New" w:hint="default"/>
      </w:rPr>
    </w:lvl>
    <w:lvl w:ilvl="5" w:tplc="FC6C5002">
      <w:start w:val="1"/>
      <w:numFmt w:val="bullet"/>
      <w:lvlText w:val=""/>
      <w:lvlJc w:val="left"/>
      <w:pPr>
        <w:ind w:left="4320" w:hanging="360"/>
      </w:pPr>
      <w:rPr>
        <w:rFonts w:ascii="Wingdings" w:hAnsi="Wingdings" w:hint="default"/>
      </w:rPr>
    </w:lvl>
    <w:lvl w:ilvl="6" w:tplc="C62C06AA">
      <w:start w:val="1"/>
      <w:numFmt w:val="bullet"/>
      <w:lvlText w:val=""/>
      <w:lvlJc w:val="left"/>
      <w:pPr>
        <w:ind w:left="5040" w:hanging="360"/>
      </w:pPr>
      <w:rPr>
        <w:rFonts w:ascii="Symbol" w:hAnsi="Symbol" w:hint="default"/>
      </w:rPr>
    </w:lvl>
    <w:lvl w:ilvl="7" w:tplc="1318EAAC">
      <w:start w:val="1"/>
      <w:numFmt w:val="bullet"/>
      <w:lvlText w:val="o"/>
      <w:lvlJc w:val="left"/>
      <w:pPr>
        <w:ind w:left="5760" w:hanging="360"/>
      </w:pPr>
      <w:rPr>
        <w:rFonts w:ascii="Courier New" w:hAnsi="Courier New" w:hint="default"/>
      </w:rPr>
    </w:lvl>
    <w:lvl w:ilvl="8" w:tplc="5DDACF9C">
      <w:start w:val="1"/>
      <w:numFmt w:val="bullet"/>
      <w:lvlText w:val=""/>
      <w:lvlJc w:val="left"/>
      <w:pPr>
        <w:ind w:left="6480" w:hanging="360"/>
      </w:pPr>
      <w:rPr>
        <w:rFonts w:ascii="Wingdings" w:hAnsi="Wingdings" w:hint="default"/>
      </w:rPr>
    </w:lvl>
  </w:abstractNum>
  <w:abstractNum w:abstractNumId="1" w15:restartNumberingAfterBreak="0">
    <w:nsid w:val="09AF3210"/>
    <w:multiLevelType w:val="hybridMultilevel"/>
    <w:tmpl w:val="AADAE6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824620"/>
    <w:multiLevelType w:val="hybridMultilevel"/>
    <w:tmpl w:val="D07A8818"/>
    <w:lvl w:ilvl="0" w:tplc="C35C4216">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6D06"/>
    <w:multiLevelType w:val="hybridMultilevel"/>
    <w:tmpl w:val="87B80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FB653A"/>
    <w:multiLevelType w:val="hybridMultilevel"/>
    <w:tmpl w:val="32241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26DDA"/>
    <w:multiLevelType w:val="hybridMultilevel"/>
    <w:tmpl w:val="C7D83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76E80"/>
    <w:multiLevelType w:val="hybridMultilevel"/>
    <w:tmpl w:val="C2246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F454FF"/>
    <w:multiLevelType w:val="hybridMultilevel"/>
    <w:tmpl w:val="CD4E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F2C01"/>
    <w:multiLevelType w:val="hybridMultilevel"/>
    <w:tmpl w:val="7EA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5D8A"/>
    <w:multiLevelType w:val="hybridMultilevel"/>
    <w:tmpl w:val="88B4FE0A"/>
    <w:lvl w:ilvl="0" w:tplc="A2541C9A">
      <w:start w:val="5"/>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66B39"/>
    <w:multiLevelType w:val="hybridMultilevel"/>
    <w:tmpl w:val="886CFCEA"/>
    <w:lvl w:ilvl="0" w:tplc="21D09EDA">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90FCF"/>
    <w:multiLevelType w:val="hybridMultilevel"/>
    <w:tmpl w:val="FAD6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011D1"/>
    <w:multiLevelType w:val="hybridMultilevel"/>
    <w:tmpl w:val="52F8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9A3644"/>
    <w:multiLevelType w:val="hybridMultilevel"/>
    <w:tmpl w:val="5CFC8D1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56013CE">
      <w:start w:val="3"/>
      <w:numFmt w:val="bullet"/>
      <w:lvlText w:val=""/>
      <w:lvlJc w:val="left"/>
      <w:pPr>
        <w:ind w:left="4320" w:hanging="360"/>
      </w:pPr>
      <w:rPr>
        <w:rFonts w:ascii="Wingdings" w:eastAsiaTheme="minorHAnsi" w:hAnsi="Wingdings" w:cstheme="minorBid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F24290"/>
    <w:multiLevelType w:val="hybridMultilevel"/>
    <w:tmpl w:val="E69234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77643">
    <w:abstractNumId w:val="14"/>
  </w:num>
  <w:num w:numId="2" w16cid:durableId="1603029725">
    <w:abstractNumId w:val="9"/>
  </w:num>
  <w:num w:numId="3" w16cid:durableId="1356496186">
    <w:abstractNumId w:val="7"/>
  </w:num>
  <w:num w:numId="4" w16cid:durableId="262037883">
    <w:abstractNumId w:val="13"/>
  </w:num>
  <w:num w:numId="5" w16cid:durableId="816535479">
    <w:abstractNumId w:val="8"/>
  </w:num>
  <w:num w:numId="6" w16cid:durableId="1544444696">
    <w:abstractNumId w:val="11"/>
  </w:num>
  <w:num w:numId="7" w16cid:durableId="1980451271">
    <w:abstractNumId w:val="0"/>
  </w:num>
  <w:num w:numId="8" w16cid:durableId="541869665">
    <w:abstractNumId w:val="3"/>
  </w:num>
  <w:num w:numId="9" w16cid:durableId="184561102">
    <w:abstractNumId w:val="12"/>
  </w:num>
  <w:num w:numId="10" w16cid:durableId="658071876">
    <w:abstractNumId w:val="6"/>
  </w:num>
  <w:num w:numId="11" w16cid:durableId="1542282227">
    <w:abstractNumId w:val="4"/>
  </w:num>
  <w:num w:numId="12" w16cid:durableId="1343780239">
    <w:abstractNumId w:val="5"/>
  </w:num>
  <w:num w:numId="13" w16cid:durableId="1785492357">
    <w:abstractNumId w:val="1"/>
  </w:num>
  <w:num w:numId="14" w16cid:durableId="749540225">
    <w:abstractNumId w:val="2"/>
  </w:num>
  <w:num w:numId="15" w16cid:durableId="1774860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C4"/>
    <w:rsid w:val="00007581"/>
    <w:rsid w:val="000A7923"/>
    <w:rsid w:val="000D1DD9"/>
    <w:rsid w:val="00142348"/>
    <w:rsid w:val="00161970"/>
    <w:rsid w:val="001D0374"/>
    <w:rsid w:val="001D134C"/>
    <w:rsid w:val="00200159"/>
    <w:rsid w:val="00224068"/>
    <w:rsid w:val="002601DA"/>
    <w:rsid w:val="00337A50"/>
    <w:rsid w:val="00346910"/>
    <w:rsid w:val="0035401A"/>
    <w:rsid w:val="0036474D"/>
    <w:rsid w:val="00384BEA"/>
    <w:rsid w:val="003A6536"/>
    <w:rsid w:val="003B0F1E"/>
    <w:rsid w:val="003F200C"/>
    <w:rsid w:val="004E68B6"/>
    <w:rsid w:val="005166B6"/>
    <w:rsid w:val="0052395E"/>
    <w:rsid w:val="00531B4E"/>
    <w:rsid w:val="00544C55"/>
    <w:rsid w:val="00557995"/>
    <w:rsid w:val="005A0145"/>
    <w:rsid w:val="005A6689"/>
    <w:rsid w:val="005B42D1"/>
    <w:rsid w:val="005CD16B"/>
    <w:rsid w:val="0060420A"/>
    <w:rsid w:val="006449A8"/>
    <w:rsid w:val="00655D12"/>
    <w:rsid w:val="00685674"/>
    <w:rsid w:val="006B4930"/>
    <w:rsid w:val="006F19A7"/>
    <w:rsid w:val="006F2D42"/>
    <w:rsid w:val="00791681"/>
    <w:rsid w:val="007973F5"/>
    <w:rsid w:val="007C1145"/>
    <w:rsid w:val="007E321E"/>
    <w:rsid w:val="00803AAC"/>
    <w:rsid w:val="0085216F"/>
    <w:rsid w:val="008B1898"/>
    <w:rsid w:val="008C5E95"/>
    <w:rsid w:val="008D5E63"/>
    <w:rsid w:val="008E05B2"/>
    <w:rsid w:val="00944B42"/>
    <w:rsid w:val="0095007D"/>
    <w:rsid w:val="009C41F8"/>
    <w:rsid w:val="009F7470"/>
    <w:rsid w:val="00A24521"/>
    <w:rsid w:val="00AE0BED"/>
    <w:rsid w:val="00AF14B0"/>
    <w:rsid w:val="00B17F38"/>
    <w:rsid w:val="00B21138"/>
    <w:rsid w:val="00B4160C"/>
    <w:rsid w:val="00B5715C"/>
    <w:rsid w:val="00B638A6"/>
    <w:rsid w:val="00B67051"/>
    <w:rsid w:val="00BB46B7"/>
    <w:rsid w:val="00BC76F6"/>
    <w:rsid w:val="00BD34C0"/>
    <w:rsid w:val="00BF5D58"/>
    <w:rsid w:val="00C00AE4"/>
    <w:rsid w:val="00CD075B"/>
    <w:rsid w:val="00D55001"/>
    <w:rsid w:val="00D65615"/>
    <w:rsid w:val="00D955C4"/>
    <w:rsid w:val="00DE3D99"/>
    <w:rsid w:val="00DF70E6"/>
    <w:rsid w:val="00E24594"/>
    <w:rsid w:val="00E31397"/>
    <w:rsid w:val="00E51A37"/>
    <w:rsid w:val="00E940EE"/>
    <w:rsid w:val="00EA01C9"/>
    <w:rsid w:val="00EA1D3A"/>
    <w:rsid w:val="00EE7CE5"/>
    <w:rsid w:val="00F27550"/>
    <w:rsid w:val="00F43EEC"/>
    <w:rsid w:val="00F717AB"/>
    <w:rsid w:val="0112C69F"/>
    <w:rsid w:val="0142E12B"/>
    <w:rsid w:val="01BFD33D"/>
    <w:rsid w:val="02850FBD"/>
    <w:rsid w:val="03C930AB"/>
    <w:rsid w:val="0441F3EA"/>
    <w:rsid w:val="04CCCB5D"/>
    <w:rsid w:val="052FD666"/>
    <w:rsid w:val="05897DB3"/>
    <w:rsid w:val="0697B457"/>
    <w:rsid w:val="06FF4280"/>
    <w:rsid w:val="08025AC4"/>
    <w:rsid w:val="086FFC6A"/>
    <w:rsid w:val="087A8C3C"/>
    <w:rsid w:val="08AB9CF5"/>
    <w:rsid w:val="0BAC9F0B"/>
    <w:rsid w:val="0BFAB7C7"/>
    <w:rsid w:val="0C442FFE"/>
    <w:rsid w:val="0C764D6F"/>
    <w:rsid w:val="0DB1A991"/>
    <w:rsid w:val="0E1F747A"/>
    <w:rsid w:val="0F588D91"/>
    <w:rsid w:val="11750E94"/>
    <w:rsid w:val="12402469"/>
    <w:rsid w:val="1267E187"/>
    <w:rsid w:val="146AED28"/>
    <w:rsid w:val="154BC4B1"/>
    <w:rsid w:val="15F7D1FE"/>
    <w:rsid w:val="161DEB02"/>
    <w:rsid w:val="17D9C17E"/>
    <w:rsid w:val="18271DD9"/>
    <w:rsid w:val="18A1C332"/>
    <w:rsid w:val="19536F1C"/>
    <w:rsid w:val="198DB7C6"/>
    <w:rsid w:val="1CCB53E5"/>
    <w:rsid w:val="1D5B9EA4"/>
    <w:rsid w:val="1D8DB276"/>
    <w:rsid w:val="1E2ED62C"/>
    <w:rsid w:val="211053D9"/>
    <w:rsid w:val="218DF5B9"/>
    <w:rsid w:val="21D5413B"/>
    <w:rsid w:val="2305B09B"/>
    <w:rsid w:val="2394585D"/>
    <w:rsid w:val="25FDCEA5"/>
    <w:rsid w:val="2618CD1A"/>
    <w:rsid w:val="27A0CC51"/>
    <w:rsid w:val="27E52978"/>
    <w:rsid w:val="29452182"/>
    <w:rsid w:val="2A029E12"/>
    <w:rsid w:val="2A383997"/>
    <w:rsid w:val="2B317720"/>
    <w:rsid w:val="2B652F0A"/>
    <w:rsid w:val="2C25301D"/>
    <w:rsid w:val="2CF4FFA4"/>
    <w:rsid w:val="2D5EC572"/>
    <w:rsid w:val="2D92C852"/>
    <w:rsid w:val="2E281324"/>
    <w:rsid w:val="2EE976C3"/>
    <w:rsid w:val="2F85496F"/>
    <w:rsid w:val="33D28FB0"/>
    <w:rsid w:val="33D7BCB7"/>
    <w:rsid w:val="33F4399B"/>
    <w:rsid w:val="3480D0D1"/>
    <w:rsid w:val="349E092E"/>
    <w:rsid w:val="3518DF1B"/>
    <w:rsid w:val="3544D04A"/>
    <w:rsid w:val="374641FE"/>
    <w:rsid w:val="39033718"/>
    <w:rsid w:val="3B0DEBC8"/>
    <w:rsid w:val="3B96E379"/>
    <w:rsid w:val="3F38D9C4"/>
    <w:rsid w:val="41BB87F7"/>
    <w:rsid w:val="42A1D077"/>
    <w:rsid w:val="42E42B26"/>
    <w:rsid w:val="435C6B5C"/>
    <w:rsid w:val="435F2673"/>
    <w:rsid w:val="45354444"/>
    <w:rsid w:val="454BEFA4"/>
    <w:rsid w:val="455D7FDA"/>
    <w:rsid w:val="465E0520"/>
    <w:rsid w:val="46718899"/>
    <w:rsid w:val="46D30C25"/>
    <w:rsid w:val="47725EBB"/>
    <w:rsid w:val="48D0A6F1"/>
    <w:rsid w:val="4A301251"/>
    <w:rsid w:val="4B2660A1"/>
    <w:rsid w:val="4BB8606E"/>
    <w:rsid w:val="4BBD8632"/>
    <w:rsid w:val="4D00F1C3"/>
    <w:rsid w:val="4E584FC0"/>
    <w:rsid w:val="4F0AD4AC"/>
    <w:rsid w:val="4FD97D97"/>
    <w:rsid w:val="506D722A"/>
    <w:rsid w:val="50B53318"/>
    <w:rsid w:val="50C30558"/>
    <w:rsid w:val="51151FB4"/>
    <w:rsid w:val="529BFE28"/>
    <w:rsid w:val="5329E7B1"/>
    <w:rsid w:val="53F4072D"/>
    <w:rsid w:val="54ED7D72"/>
    <w:rsid w:val="5584BD5E"/>
    <w:rsid w:val="56432A33"/>
    <w:rsid w:val="59115A7E"/>
    <w:rsid w:val="59FDAFD2"/>
    <w:rsid w:val="5A7E23E5"/>
    <w:rsid w:val="5AC0EA2D"/>
    <w:rsid w:val="5B6C44E9"/>
    <w:rsid w:val="5B943C97"/>
    <w:rsid w:val="5D03759C"/>
    <w:rsid w:val="5E0DA72E"/>
    <w:rsid w:val="5E699E40"/>
    <w:rsid w:val="5F84C184"/>
    <w:rsid w:val="6046C603"/>
    <w:rsid w:val="617A39BE"/>
    <w:rsid w:val="61B5D0C7"/>
    <w:rsid w:val="64954262"/>
    <w:rsid w:val="65964057"/>
    <w:rsid w:val="665B4623"/>
    <w:rsid w:val="6793F965"/>
    <w:rsid w:val="67C36EE2"/>
    <w:rsid w:val="69DDC17B"/>
    <w:rsid w:val="6A32DC20"/>
    <w:rsid w:val="6A587093"/>
    <w:rsid w:val="6E296A71"/>
    <w:rsid w:val="6F647D07"/>
    <w:rsid w:val="6FF39C27"/>
    <w:rsid w:val="7057A567"/>
    <w:rsid w:val="70A9D2D7"/>
    <w:rsid w:val="716655EF"/>
    <w:rsid w:val="7210BECE"/>
    <w:rsid w:val="72525E2D"/>
    <w:rsid w:val="731F11A7"/>
    <w:rsid w:val="743CA44C"/>
    <w:rsid w:val="74A6BFFC"/>
    <w:rsid w:val="75419C05"/>
    <w:rsid w:val="767DFE5A"/>
    <w:rsid w:val="76857D41"/>
    <w:rsid w:val="769C0EB8"/>
    <w:rsid w:val="778E5B57"/>
    <w:rsid w:val="780149D0"/>
    <w:rsid w:val="78380746"/>
    <w:rsid w:val="792AC630"/>
    <w:rsid w:val="7946C81C"/>
    <w:rsid w:val="798ED94E"/>
    <w:rsid w:val="7A3B7FA0"/>
    <w:rsid w:val="7ADBFC69"/>
    <w:rsid w:val="7BECAD94"/>
    <w:rsid w:val="7C93C68F"/>
    <w:rsid w:val="7CFC18F7"/>
    <w:rsid w:val="7E4AC9CB"/>
    <w:rsid w:val="7E7489BF"/>
    <w:rsid w:val="7F07851F"/>
    <w:rsid w:val="7F5277DC"/>
    <w:rsid w:val="7FEDD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6B6"/>
  <w15:chartTrackingRefBased/>
  <w15:docId w15:val="{2D46BBD3-661D-4C67-88BA-CEFD3DB8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5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5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5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5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5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5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5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5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5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5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5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5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5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5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5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5C4"/>
    <w:rPr>
      <w:rFonts w:eastAsiaTheme="majorEastAsia" w:cstheme="majorBidi"/>
      <w:color w:val="272727" w:themeColor="text1" w:themeTint="D8"/>
    </w:rPr>
  </w:style>
  <w:style w:type="paragraph" w:styleId="Titel">
    <w:name w:val="Title"/>
    <w:basedOn w:val="Standaard"/>
    <w:next w:val="Standaard"/>
    <w:link w:val="TitelChar"/>
    <w:uiPriority w:val="10"/>
    <w:qFormat/>
    <w:rsid w:val="00D9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5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5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5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5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5C4"/>
    <w:rPr>
      <w:i/>
      <w:iCs/>
      <w:color w:val="404040" w:themeColor="text1" w:themeTint="BF"/>
    </w:rPr>
  </w:style>
  <w:style w:type="paragraph" w:styleId="Lijstalinea">
    <w:name w:val="List Paragraph"/>
    <w:basedOn w:val="Standaard"/>
    <w:uiPriority w:val="34"/>
    <w:qFormat/>
    <w:rsid w:val="00D955C4"/>
    <w:pPr>
      <w:ind w:left="720"/>
      <w:contextualSpacing/>
    </w:pPr>
  </w:style>
  <w:style w:type="character" w:styleId="Intensievebenadrukking">
    <w:name w:val="Intense Emphasis"/>
    <w:basedOn w:val="Standaardalinea-lettertype"/>
    <w:uiPriority w:val="21"/>
    <w:qFormat/>
    <w:rsid w:val="00D955C4"/>
    <w:rPr>
      <w:i/>
      <w:iCs/>
      <w:color w:val="0F4761" w:themeColor="accent1" w:themeShade="BF"/>
    </w:rPr>
  </w:style>
  <w:style w:type="paragraph" w:styleId="Duidelijkcitaat">
    <w:name w:val="Intense Quote"/>
    <w:basedOn w:val="Standaard"/>
    <w:next w:val="Standaard"/>
    <w:link w:val="DuidelijkcitaatChar"/>
    <w:uiPriority w:val="30"/>
    <w:qFormat/>
    <w:rsid w:val="00D9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5C4"/>
    <w:rPr>
      <w:i/>
      <w:iCs/>
      <w:color w:val="0F4761" w:themeColor="accent1" w:themeShade="BF"/>
    </w:rPr>
  </w:style>
  <w:style w:type="character" w:styleId="Intensieveverwijzing">
    <w:name w:val="Intense Reference"/>
    <w:basedOn w:val="Standaardalinea-lettertype"/>
    <w:uiPriority w:val="32"/>
    <w:qFormat/>
    <w:rsid w:val="00D955C4"/>
    <w:rPr>
      <w:b/>
      <w:bCs/>
      <w:smallCaps/>
      <w:color w:val="0F4761" w:themeColor="accent1" w:themeShade="BF"/>
      <w:spacing w:val="5"/>
    </w:rPr>
  </w:style>
  <w:style w:type="table" w:styleId="Tabelraster">
    <w:name w:val="Table Grid"/>
    <w:basedOn w:val="Standaardtabel"/>
    <w:uiPriority w:val="39"/>
    <w:rsid w:val="0022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D07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Standaardalinea-lettertype"/>
    <w:uiPriority w:val="99"/>
    <w:unhideWhenUsed/>
    <w:rsid w:val="27E52978"/>
    <w:rPr>
      <w:color w:val="467886"/>
      <w:u w:val="single"/>
    </w:rPr>
  </w:style>
  <w:style w:type="paragraph" w:styleId="Revisie">
    <w:name w:val="Revision"/>
    <w:hidden/>
    <w:uiPriority w:val="99"/>
    <w:semiHidden/>
    <w:rsid w:val="005A6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6090">
      <w:bodyDiv w:val="1"/>
      <w:marLeft w:val="0"/>
      <w:marRight w:val="0"/>
      <w:marTop w:val="0"/>
      <w:marBottom w:val="0"/>
      <w:divBdr>
        <w:top w:val="none" w:sz="0" w:space="0" w:color="auto"/>
        <w:left w:val="none" w:sz="0" w:space="0" w:color="auto"/>
        <w:bottom w:val="none" w:sz="0" w:space="0" w:color="auto"/>
        <w:right w:val="none" w:sz="0" w:space="0" w:color="auto"/>
      </w:divBdr>
    </w:div>
    <w:div w:id="775713200">
      <w:bodyDiv w:val="1"/>
      <w:marLeft w:val="0"/>
      <w:marRight w:val="0"/>
      <w:marTop w:val="0"/>
      <w:marBottom w:val="0"/>
      <w:divBdr>
        <w:top w:val="none" w:sz="0" w:space="0" w:color="auto"/>
        <w:left w:val="none" w:sz="0" w:space="0" w:color="auto"/>
        <w:bottom w:val="none" w:sz="0" w:space="0" w:color="auto"/>
        <w:right w:val="none" w:sz="0" w:space="0" w:color="auto"/>
      </w:divBdr>
    </w:div>
    <w:div w:id="954478972">
      <w:bodyDiv w:val="1"/>
      <w:marLeft w:val="0"/>
      <w:marRight w:val="0"/>
      <w:marTop w:val="0"/>
      <w:marBottom w:val="0"/>
      <w:divBdr>
        <w:top w:val="none" w:sz="0" w:space="0" w:color="auto"/>
        <w:left w:val="none" w:sz="0" w:space="0" w:color="auto"/>
        <w:bottom w:val="none" w:sz="0" w:space="0" w:color="auto"/>
        <w:right w:val="none" w:sz="0" w:space="0" w:color="auto"/>
      </w:divBdr>
    </w:div>
    <w:div w:id="1233462533">
      <w:bodyDiv w:val="1"/>
      <w:marLeft w:val="0"/>
      <w:marRight w:val="0"/>
      <w:marTop w:val="0"/>
      <w:marBottom w:val="0"/>
      <w:divBdr>
        <w:top w:val="none" w:sz="0" w:space="0" w:color="auto"/>
        <w:left w:val="none" w:sz="0" w:space="0" w:color="auto"/>
        <w:bottom w:val="none" w:sz="0" w:space="0" w:color="auto"/>
        <w:right w:val="none" w:sz="0" w:space="0" w:color="auto"/>
      </w:divBdr>
    </w:div>
    <w:div w:id="1431852803">
      <w:bodyDiv w:val="1"/>
      <w:marLeft w:val="0"/>
      <w:marRight w:val="0"/>
      <w:marTop w:val="0"/>
      <w:marBottom w:val="0"/>
      <w:divBdr>
        <w:top w:val="none" w:sz="0" w:space="0" w:color="auto"/>
        <w:left w:val="none" w:sz="0" w:space="0" w:color="auto"/>
        <w:bottom w:val="none" w:sz="0" w:space="0" w:color="auto"/>
        <w:right w:val="none" w:sz="0" w:space="0" w:color="auto"/>
      </w:divBdr>
    </w:div>
    <w:div w:id="19417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tie.belgium.be/nl/nieuws/andere_berichten/lees_het_eindrapport_over_de_wet_op_meerderjarige_beschermde_personen" TargetMode="External"/><Relationship Id="rId3" Type="http://schemas.openxmlformats.org/officeDocument/2006/relationships/settings" Target="settings.xml"/><Relationship Id="rId7" Type="http://schemas.openxmlformats.org/officeDocument/2006/relationships/hyperlink" Target="https://ph.belgium.b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fr/instruments-mechanisms/instruments/convention-rights-persons-disabilities" TargetMode="External"/><Relationship Id="rId5" Type="http://schemas.openxmlformats.org/officeDocument/2006/relationships/hyperlink" Target="https://www.ohchr.org/fr/instruments-mechanisms/instruments/convention-rights-persons-disabilit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docId:ACDCE91B964FB905F9CDE93CF5A924A4</cp:keywords>
  <dc:description/>
  <cp:lastModifiedBy>Parent Eva</cp:lastModifiedBy>
  <cp:revision>2</cp:revision>
  <dcterms:created xsi:type="dcterms:W3CDTF">2025-09-10T09:05:00Z</dcterms:created>
  <dcterms:modified xsi:type="dcterms:W3CDTF">2025-09-10T09:05:00Z</dcterms:modified>
</cp:coreProperties>
</file>