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4BA8" w14:textId="3F410D85" w:rsidR="00C00AE4" w:rsidRPr="00655D12" w:rsidRDefault="00C00AE4" w:rsidP="006F2D42">
      <w:pPr>
        <w:pBdr>
          <w:top w:val="single" w:sz="4" w:space="1" w:color="auto"/>
          <w:left w:val="single" w:sz="4" w:space="4" w:color="auto"/>
          <w:bottom w:val="single" w:sz="4" w:space="1" w:color="auto"/>
          <w:right w:val="single" w:sz="4" w:space="4" w:color="auto"/>
        </w:pBdr>
        <w:ind w:left="720" w:hanging="360"/>
        <w:rPr>
          <w:rFonts w:ascii="Verdana" w:hAnsi="Verdana"/>
          <w:sz w:val="22"/>
          <w:szCs w:val="22"/>
          <w:lang w:val="nl-BE"/>
        </w:rPr>
      </w:pPr>
      <w:r w:rsidRPr="00655D12">
        <w:rPr>
          <w:rFonts w:ascii="Verdana" w:hAnsi="Verdana"/>
          <w:sz w:val="22"/>
          <w:szCs w:val="22"/>
          <w:lang w:val="nl-BE"/>
        </w:rPr>
        <w:t xml:space="preserve">ONTMOETING MET MINISTER </w:t>
      </w:r>
      <w:r w:rsidR="006F2D42" w:rsidRPr="00655D12">
        <w:rPr>
          <w:rFonts w:ascii="Verdana" w:hAnsi="Verdana"/>
          <w:sz w:val="22"/>
          <w:szCs w:val="22"/>
          <w:lang w:val="nl-BE"/>
        </w:rPr>
        <w:t xml:space="preserve">Annelies VERLINDEN oktober  </w:t>
      </w:r>
      <w:r w:rsidRPr="00655D12">
        <w:rPr>
          <w:rFonts w:ascii="Verdana" w:hAnsi="Verdana"/>
          <w:sz w:val="22"/>
          <w:szCs w:val="22"/>
          <w:lang w:val="nl-BE"/>
        </w:rPr>
        <w:t xml:space="preserve">2025 </w:t>
      </w:r>
    </w:p>
    <w:p w14:paraId="2D3C3CAA" w14:textId="77777777" w:rsidR="006F2D42" w:rsidRPr="00655D12" w:rsidRDefault="006F2D42" w:rsidP="006F2D42">
      <w:pPr>
        <w:pStyle w:val="Normaalweb"/>
        <w:shd w:val="clear" w:color="auto" w:fill="FBFBFB"/>
        <w:rPr>
          <w:rFonts w:ascii="Verdana" w:hAnsi="Verdana"/>
          <w:color w:val="282828"/>
          <w:sz w:val="22"/>
          <w:szCs w:val="22"/>
          <w:lang w:val="nl-BE"/>
        </w:rPr>
      </w:pPr>
      <w:r w:rsidRPr="00655D12">
        <w:rPr>
          <w:rFonts w:ascii="Verdana" w:hAnsi="Verdana"/>
          <w:color w:val="282828"/>
          <w:sz w:val="22"/>
          <w:szCs w:val="22"/>
          <w:lang w:val="nl-BE"/>
        </w:rPr>
        <w:t>Mevrouw Annelies Verlinden, CD&amp;V, Minister van Justitie, belast met Noordzee</w:t>
      </w:r>
    </w:p>
    <w:p w14:paraId="1F6118C4" w14:textId="47E5F298" w:rsidR="00C00AE4" w:rsidRPr="00655D12" w:rsidRDefault="006F2D42" w:rsidP="006F2D42">
      <w:pPr>
        <w:pStyle w:val="Normaalweb"/>
        <w:shd w:val="clear" w:color="auto" w:fill="FBFBFB"/>
        <w:rPr>
          <w:rFonts w:ascii="Verdana" w:hAnsi="Verdana"/>
          <w:color w:val="282828"/>
          <w:sz w:val="22"/>
          <w:szCs w:val="22"/>
          <w:lang w:val="nl-BE"/>
        </w:rPr>
      </w:pPr>
      <w:r w:rsidRPr="00655D12">
        <w:rPr>
          <w:rFonts w:ascii="Verdana" w:hAnsi="Verdana"/>
          <w:color w:val="282828"/>
          <w:sz w:val="22"/>
          <w:szCs w:val="22"/>
          <w:lang w:val="nl-BE"/>
        </w:rPr>
        <w:t>Bevoegd voor de Federale Overheidsdienst Justitie (sociaal strafrecht en vennootschapsrecht is onderdeel van de FOD Justitie) en de Dienst Gelijke Kansen van de Federale Overheidsdienst Justitie: gezamenlijke bevoegdheid met de Minister van Gelijke Kansen</w:t>
      </w:r>
    </w:p>
    <w:p w14:paraId="1566537B" w14:textId="77777777" w:rsidR="006F2D42" w:rsidRPr="00655D12" w:rsidRDefault="006F2D42" w:rsidP="00C00AE4">
      <w:pPr>
        <w:pStyle w:val="Normaalweb"/>
        <w:shd w:val="clear" w:color="auto" w:fill="FBFBFB"/>
        <w:rPr>
          <w:rFonts w:ascii="Verdana" w:hAnsi="Verdana" w:cs="Arial"/>
          <w:sz w:val="22"/>
          <w:szCs w:val="22"/>
          <w:lang w:val="nl-BE"/>
        </w:rPr>
      </w:pPr>
    </w:p>
    <w:p w14:paraId="4FABC145" w14:textId="2F039D40" w:rsidR="00B638A6" w:rsidRPr="00655D12" w:rsidRDefault="006F2D42" w:rsidP="00B638A6">
      <w:pPr>
        <w:pStyle w:val="Lijstalinea"/>
        <w:numPr>
          <w:ilvl w:val="0"/>
          <w:numId w:val="3"/>
        </w:numPr>
        <w:pBdr>
          <w:top w:val="single" w:sz="4" w:space="1" w:color="auto"/>
          <w:left w:val="single" w:sz="4" w:space="4" w:color="auto"/>
          <w:bottom w:val="single" w:sz="4" w:space="1" w:color="auto"/>
          <w:right w:val="single" w:sz="4" w:space="4" w:color="auto"/>
        </w:pBdr>
        <w:rPr>
          <w:rFonts w:ascii="Verdana" w:hAnsi="Verdana"/>
          <w:b/>
          <w:bCs/>
          <w:sz w:val="22"/>
          <w:szCs w:val="22"/>
          <w:lang w:val="fr-BE"/>
        </w:rPr>
      </w:pPr>
      <w:bookmarkStart w:id="0" w:name="_Hlk205824947"/>
      <w:proofErr w:type="spellStart"/>
      <w:r w:rsidRPr="00655D12">
        <w:rPr>
          <w:rFonts w:ascii="Verdana" w:hAnsi="Verdana"/>
          <w:b/>
          <w:bCs/>
          <w:sz w:val="22"/>
          <w:szCs w:val="22"/>
          <w:lang w:val="fr-BE"/>
        </w:rPr>
        <w:t>Inleiding</w:t>
      </w:r>
      <w:proofErr w:type="spellEnd"/>
    </w:p>
    <w:bookmarkEnd w:id="0"/>
    <w:p w14:paraId="206C0C13" w14:textId="77777777" w:rsidR="006F19A7" w:rsidRPr="00655D12" w:rsidRDefault="006F19A7" w:rsidP="27E52978">
      <w:pPr>
        <w:pStyle w:val="Lijstalinea"/>
        <w:rPr>
          <w:rFonts w:ascii="Verdana" w:hAnsi="Verdana"/>
          <w:b/>
          <w:bCs/>
          <w:color w:val="FF0000"/>
          <w:sz w:val="22"/>
          <w:szCs w:val="22"/>
          <w:lang w:val="fr-BE"/>
        </w:rPr>
      </w:pPr>
    </w:p>
    <w:p w14:paraId="735353B1" w14:textId="77777777" w:rsidR="00F717AB" w:rsidRPr="00655D12" w:rsidRDefault="00F717AB" w:rsidP="00F717AB">
      <w:pPr>
        <w:pStyle w:val="Lijstalinea"/>
        <w:rPr>
          <w:rFonts w:ascii="Verdana" w:hAnsi="Verdana"/>
          <w:b/>
          <w:bCs/>
          <w:color w:val="FF0000"/>
          <w:sz w:val="22"/>
          <w:szCs w:val="22"/>
          <w:lang w:val="fr-BE"/>
        </w:rPr>
      </w:pPr>
    </w:p>
    <w:p w14:paraId="0473AFF8" w14:textId="22BACCE6" w:rsidR="00224068" w:rsidRPr="00655D12" w:rsidRDefault="743CA44C" w:rsidP="27E52978">
      <w:pPr>
        <w:pStyle w:val="Lijstalinea"/>
        <w:numPr>
          <w:ilvl w:val="0"/>
          <w:numId w:val="1"/>
        </w:numPr>
        <w:rPr>
          <w:rFonts w:ascii="Verdana" w:hAnsi="Verdana"/>
          <w:b/>
          <w:bCs/>
          <w:color w:val="FF0000"/>
          <w:sz w:val="22"/>
          <w:szCs w:val="22"/>
          <w:lang w:val="nl-BE"/>
        </w:rPr>
      </w:pPr>
      <w:r w:rsidRPr="00655D12">
        <w:rPr>
          <w:rFonts w:ascii="Verdana" w:hAnsi="Verdana"/>
          <w:b/>
          <w:bCs/>
          <w:color w:val="FF0000"/>
          <w:sz w:val="22"/>
          <w:szCs w:val="22"/>
          <w:lang w:val="nl-BE"/>
        </w:rPr>
        <w:t>Personen met een handicap</w:t>
      </w:r>
      <w:r w:rsidR="161DEB02" w:rsidRPr="00655D12">
        <w:rPr>
          <w:rFonts w:ascii="Verdana" w:hAnsi="Verdana"/>
          <w:b/>
          <w:bCs/>
          <w:color w:val="FF0000"/>
          <w:sz w:val="22"/>
          <w:szCs w:val="22"/>
          <w:lang w:val="nl-BE"/>
        </w:rPr>
        <w:t xml:space="preserve">: definitie en reikwijdte </w:t>
      </w:r>
    </w:p>
    <w:p w14:paraId="0DD6528C" w14:textId="77777777" w:rsidR="006F2D42" w:rsidRPr="00655D12" w:rsidRDefault="006F2D42" w:rsidP="006F2D42">
      <w:pPr>
        <w:pStyle w:val="Lijstalinea"/>
        <w:rPr>
          <w:rFonts w:ascii="Verdana" w:hAnsi="Verdana"/>
          <w:b/>
          <w:bCs/>
          <w:color w:val="FF0000"/>
          <w:sz w:val="22"/>
          <w:szCs w:val="22"/>
          <w:lang w:val="nl-BE"/>
        </w:rPr>
      </w:pPr>
    </w:p>
    <w:p w14:paraId="71E50630" w14:textId="34302B9D" w:rsidR="00224068" w:rsidRPr="00655D12" w:rsidRDefault="743CA44C" w:rsidP="00224068">
      <w:pPr>
        <w:pStyle w:val="Lijstalinea"/>
        <w:numPr>
          <w:ilvl w:val="1"/>
          <w:numId w:val="1"/>
        </w:numPr>
        <w:rPr>
          <w:rFonts w:ascii="Verdana" w:hAnsi="Verdana"/>
          <w:sz w:val="22"/>
          <w:szCs w:val="22"/>
          <w:lang w:val="nl-BE"/>
        </w:rPr>
      </w:pPr>
      <w:r w:rsidRPr="00655D12">
        <w:rPr>
          <w:rFonts w:ascii="Verdana" w:hAnsi="Verdana"/>
          <w:sz w:val="22"/>
          <w:szCs w:val="22"/>
          <w:lang w:val="nl-BE"/>
        </w:rPr>
        <w:t xml:space="preserve">Verschillende categorieën </w:t>
      </w:r>
      <w:r w:rsidR="003F200C" w:rsidRPr="00655D12">
        <w:rPr>
          <w:rFonts w:ascii="Verdana" w:hAnsi="Verdana"/>
          <w:sz w:val="22"/>
          <w:szCs w:val="22"/>
          <w:lang w:val="nl-BE"/>
        </w:rPr>
        <w:t xml:space="preserve">(fysiek, zintuiglijk, intellectueel, mentaal...) </w:t>
      </w:r>
      <w:r w:rsidR="4E584FC0" w:rsidRPr="00655D12">
        <w:rPr>
          <w:rFonts w:ascii="Verdana" w:hAnsi="Verdana"/>
          <w:sz w:val="22"/>
          <w:szCs w:val="22"/>
          <w:lang w:val="nl-BE"/>
        </w:rPr>
        <w:t xml:space="preserve">- 80 % = onzichtbare handicap </w:t>
      </w:r>
      <w:r w:rsidR="004E68B6" w:rsidRPr="00655D12">
        <w:rPr>
          <w:rFonts w:ascii="Verdana" w:hAnsi="Verdana"/>
          <w:sz w:val="22"/>
          <w:szCs w:val="22"/>
          <w:lang w:val="nl-BE"/>
        </w:rPr>
        <w:sym w:font="Wingdings" w:char="F0E8"/>
      </w:r>
      <w:r w:rsidR="4B2660A1" w:rsidRPr="00655D12">
        <w:rPr>
          <w:rFonts w:ascii="Verdana" w:hAnsi="Verdana"/>
          <w:sz w:val="22"/>
          <w:szCs w:val="22"/>
          <w:lang w:val="nl-BE"/>
        </w:rPr>
        <w:t xml:space="preserve"> 15 % van de bevolking + gezinnen</w:t>
      </w:r>
    </w:p>
    <w:p w14:paraId="149E2ED1" w14:textId="4DB5F2CA" w:rsidR="04CCCB5D" w:rsidRPr="00655D12" w:rsidRDefault="04CCCB5D" w:rsidP="27E52978">
      <w:pPr>
        <w:pStyle w:val="Lijstalinea"/>
        <w:numPr>
          <w:ilvl w:val="1"/>
          <w:numId w:val="1"/>
        </w:numPr>
        <w:rPr>
          <w:rFonts w:ascii="Verdana" w:hAnsi="Verdana"/>
          <w:b/>
          <w:bCs/>
          <w:sz w:val="22"/>
          <w:szCs w:val="22"/>
          <w:lang w:val="fr-BE"/>
        </w:rPr>
      </w:pPr>
      <w:proofErr w:type="spellStart"/>
      <w:r w:rsidRPr="00655D12">
        <w:rPr>
          <w:rFonts w:ascii="Verdana" w:hAnsi="Verdana"/>
          <w:b/>
          <w:bCs/>
          <w:sz w:val="22"/>
          <w:szCs w:val="22"/>
          <w:lang w:val="fr-BE"/>
        </w:rPr>
        <w:t>Weinig</w:t>
      </w:r>
      <w:proofErr w:type="spellEnd"/>
      <w:r w:rsidRPr="00655D12">
        <w:rPr>
          <w:rFonts w:ascii="Verdana" w:hAnsi="Verdana"/>
          <w:b/>
          <w:bCs/>
          <w:sz w:val="22"/>
          <w:szCs w:val="22"/>
          <w:lang w:val="fr-BE"/>
        </w:rPr>
        <w:t xml:space="preserve"> </w:t>
      </w:r>
      <w:proofErr w:type="spellStart"/>
      <w:r w:rsidRPr="00655D12">
        <w:rPr>
          <w:rFonts w:ascii="Verdana" w:hAnsi="Verdana"/>
          <w:b/>
          <w:bCs/>
          <w:sz w:val="22"/>
          <w:szCs w:val="22"/>
          <w:lang w:val="fr-BE"/>
        </w:rPr>
        <w:t>statistieken</w:t>
      </w:r>
      <w:proofErr w:type="spellEnd"/>
      <w:r w:rsidRPr="00655D12">
        <w:rPr>
          <w:rFonts w:ascii="Verdana" w:hAnsi="Verdana"/>
          <w:b/>
          <w:bCs/>
          <w:sz w:val="22"/>
          <w:szCs w:val="22"/>
          <w:lang w:val="fr-BE"/>
        </w:rPr>
        <w:t xml:space="preserve"> en </w:t>
      </w:r>
      <w:proofErr w:type="spellStart"/>
      <w:r w:rsidRPr="00655D12">
        <w:rPr>
          <w:rFonts w:ascii="Verdana" w:hAnsi="Verdana"/>
          <w:b/>
          <w:bCs/>
          <w:sz w:val="22"/>
          <w:szCs w:val="22"/>
          <w:lang w:val="fr-BE"/>
        </w:rPr>
        <w:t>gegevens</w:t>
      </w:r>
      <w:proofErr w:type="spellEnd"/>
      <w:r w:rsidRPr="00655D12">
        <w:rPr>
          <w:rFonts w:ascii="Verdana" w:hAnsi="Verdana"/>
          <w:b/>
          <w:bCs/>
          <w:sz w:val="22"/>
          <w:szCs w:val="22"/>
          <w:lang w:val="fr-BE"/>
        </w:rPr>
        <w:t xml:space="preserve"> </w:t>
      </w:r>
    </w:p>
    <w:p w14:paraId="38DEA172" w14:textId="18084FFA" w:rsidR="4E584FC0" w:rsidRPr="00655D12" w:rsidRDefault="4E584FC0" w:rsidP="27E52978">
      <w:pPr>
        <w:pStyle w:val="Lijstalinea"/>
        <w:numPr>
          <w:ilvl w:val="1"/>
          <w:numId w:val="1"/>
        </w:numPr>
        <w:rPr>
          <w:rFonts w:ascii="Verdana" w:hAnsi="Verdana"/>
          <w:sz w:val="22"/>
          <w:szCs w:val="22"/>
          <w:lang w:val="nl-BE"/>
        </w:rPr>
      </w:pPr>
      <w:r w:rsidRPr="00655D12">
        <w:rPr>
          <w:rFonts w:ascii="Verdana" w:hAnsi="Verdana"/>
          <w:sz w:val="22"/>
          <w:szCs w:val="22"/>
          <w:lang w:val="nl-BE"/>
        </w:rPr>
        <w:t xml:space="preserve">Handicap = verlies van rechten en uitsluiting uit de samenleving  </w:t>
      </w:r>
    </w:p>
    <w:p w14:paraId="3109ED47" w14:textId="5939CB23" w:rsidR="00224068" w:rsidRPr="00655D12" w:rsidRDefault="743CA44C" w:rsidP="00224068">
      <w:pPr>
        <w:pStyle w:val="Lijstalinea"/>
        <w:numPr>
          <w:ilvl w:val="1"/>
          <w:numId w:val="1"/>
        </w:numPr>
        <w:rPr>
          <w:rFonts w:ascii="Verdana" w:hAnsi="Verdana"/>
          <w:sz w:val="22"/>
          <w:szCs w:val="22"/>
          <w:lang w:val="nl-BE"/>
        </w:rPr>
      </w:pPr>
      <w:r w:rsidRPr="00655D12">
        <w:rPr>
          <w:rFonts w:ascii="Verdana" w:hAnsi="Verdana"/>
          <w:sz w:val="22"/>
          <w:szCs w:val="22"/>
          <w:lang w:val="nl-BE"/>
        </w:rPr>
        <w:t xml:space="preserve">Een handicap </w:t>
      </w:r>
      <w:r w:rsidR="4FD97D97" w:rsidRPr="00655D12">
        <w:rPr>
          <w:rFonts w:ascii="Verdana" w:hAnsi="Verdana"/>
          <w:sz w:val="22"/>
          <w:szCs w:val="22"/>
          <w:lang w:val="nl-BE"/>
        </w:rPr>
        <w:t xml:space="preserve">is een bijzonderheid; het </w:t>
      </w:r>
      <w:r w:rsidR="5D03759C" w:rsidRPr="00655D12">
        <w:rPr>
          <w:rFonts w:ascii="Verdana" w:hAnsi="Verdana"/>
          <w:sz w:val="22"/>
          <w:szCs w:val="22"/>
          <w:lang w:val="nl-BE"/>
        </w:rPr>
        <w:t xml:space="preserve">wordt een probleem wanneer </w:t>
      </w:r>
      <w:r w:rsidR="5D03759C" w:rsidRPr="00655D12">
        <w:rPr>
          <w:rFonts w:ascii="Verdana" w:hAnsi="Verdana"/>
          <w:b/>
          <w:bCs/>
          <w:sz w:val="22"/>
          <w:szCs w:val="22"/>
          <w:lang w:val="nl-BE"/>
        </w:rPr>
        <w:t xml:space="preserve">de omgeving niet is aangepast </w:t>
      </w:r>
    </w:p>
    <w:p w14:paraId="0C4C8CD3" w14:textId="79F7E5BA" w:rsidR="27E52978" w:rsidRPr="00655D12" w:rsidRDefault="27E52978" w:rsidP="27E52978">
      <w:pPr>
        <w:pStyle w:val="Lijstalinea"/>
        <w:ind w:left="1440"/>
        <w:rPr>
          <w:rFonts w:ascii="Verdana" w:hAnsi="Verdana"/>
          <w:sz w:val="22"/>
          <w:szCs w:val="22"/>
          <w:lang w:val="nl-BE"/>
        </w:rPr>
      </w:pPr>
    </w:p>
    <w:p w14:paraId="3B67B383" w14:textId="77777777" w:rsidR="006F2D42" w:rsidRPr="00655D12" w:rsidRDefault="006F2D42" w:rsidP="27E52978">
      <w:pPr>
        <w:pStyle w:val="Lijstalinea"/>
        <w:ind w:left="1440"/>
        <w:rPr>
          <w:rFonts w:ascii="Verdana" w:hAnsi="Verdana"/>
          <w:sz w:val="22"/>
          <w:szCs w:val="22"/>
          <w:lang w:val="nl-BE"/>
        </w:rPr>
      </w:pPr>
    </w:p>
    <w:p w14:paraId="1DD8438F" w14:textId="5D4B0D52" w:rsidR="2305B09B" w:rsidRPr="00655D12" w:rsidRDefault="2305B09B" w:rsidP="27E52978">
      <w:pPr>
        <w:pStyle w:val="Lijstalinea"/>
        <w:numPr>
          <w:ilvl w:val="0"/>
          <w:numId w:val="1"/>
        </w:numPr>
        <w:rPr>
          <w:rFonts w:ascii="Verdana" w:hAnsi="Verdana"/>
          <w:b/>
          <w:bCs/>
          <w:sz w:val="22"/>
          <w:szCs w:val="22"/>
          <w:lang w:val="nl-BE"/>
        </w:rPr>
      </w:pPr>
      <w:r w:rsidRPr="00655D12">
        <w:rPr>
          <w:rFonts w:ascii="Verdana" w:hAnsi="Verdana"/>
          <w:b/>
          <w:bCs/>
          <w:color w:val="FF0000"/>
          <w:sz w:val="22"/>
          <w:szCs w:val="22"/>
          <w:lang w:val="nl-BE"/>
        </w:rPr>
        <w:t xml:space="preserve">De situatie rechtzetten </w:t>
      </w:r>
      <w:r w:rsidRPr="00655D12">
        <w:rPr>
          <w:rFonts w:ascii="Verdana" w:hAnsi="Verdana"/>
          <w:b/>
          <w:bCs/>
          <w:sz w:val="22"/>
          <w:szCs w:val="22"/>
          <w:lang w:val="nl-BE"/>
        </w:rPr>
        <w:t>zodat personen met een handicap hun rechten kunnen uitoefenen</w:t>
      </w:r>
      <w:r w:rsidR="61B5D0C7" w:rsidRPr="00655D12">
        <w:rPr>
          <w:rFonts w:ascii="Verdana" w:hAnsi="Verdana"/>
          <w:b/>
          <w:bCs/>
          <w:sz w:val="22"/>
          <w:szCs w:val="22"/>
          <w:lang w:val="nl-BE"/>
        </w:rPr>
        <w:t xml:space="preserve">, een waardig leven kunnen leiden </w:t>
      </w:r>
      <w:r w:rsidRPr="00655D12">
        <w:rPr>
          <w:rFonts w:ascii="Verdana" w:hAnsi="Verdana"/>
          <w:b/>
          <w:bCs/>
          <w:sz w:val="22"/>
          <w:szCs w:val="22"/>
          <w:lang w:val="nl-BE"/>
        </w:rPr>
        <w:t xml:space="preserve">en kunnen deelnemen aan het maatschappelijk leven </w:t>
      </w:r>
    </w:p>
    <w:p w14:paraId="03DF89DC" w14:textId="77777777" w:rsidR="006F2D42" w:rsidRPr="00655D12" w:rsidRDefault="006F2D42" w:rsidP="006F2D42">
      <w:pPr>
        <w:pStyle w:val="Lijstalinea"/>
        <w:rPr>
          <w:rFonts w:ascii="Verdana" w:hAnsi="Verdana"/>
          <w:b/>
          <w:bCs/>
          <w:sz w:val="22"/>
          <w:szCs w:val="22"/>
          <w:lang w:val="nl-BE"/>
        </w:rPr>
      </w:pPr>
    </w:p>
    <w:p w14:paraId="643EB8B5" w14:textId="76CBFD5C" w:rsidR="00F717AB" w:rsidRPr="00655D12" w:rsidRDefault="00F717AB" w:rsidP="154BC4B1">
      <w:pPr>
        <w:pStyle w:val="Lijstalinea"/>
        <w:numPr>
          <w:ilvl w:val="1"/>
          <w:numId w:val="1"/>
        </w:numPr>
        <w:rPr>
          <w:rFonts w:ascii="Verdana" w:hAnsi="Verdana"/>
          <w:b/>
          <w:bCs/>
          <w:color w:val="FF0000"/>
          <w:sz w:val="22"/>
          <w:szCs w:val="22"/>
          <w:lang w:val="nl-BE"/>
        </w:rPr>
      </w:pPr>
      <w:r w:rsidRPr="00655D12">
        <w:rPr>
          <w:rFonts w:ascii="Verdana" w:hAnsi="Verdana"/>
          <w:b/>
          <w:bCs/>
          <w:color w:val="FF0000"/>
          <w:sz w:val="22"/>
          <w:szCs w:val="22"/>
          <w:lang w:val="nl-BE"/>
        </w:rPr>
        <w:t xml:space="preserve">UNCRPD - Artikel 23 van de Grondwet: de </w:t>
      </w:r>
      <w:r w:rsidRPr="00655D12">
        <w:rPr>
          <w:rFonts w:ascii="Verdana" w:hAnsi="Verdana"/>
          <w:b/>
          <w:bCs/>
          <w:color w:val="FF0000"/>
          <w:sz w:val="22"/>
          <w:szCs w:val="22"/>
          <w:u w:val="single"/>
          <w:lang w:val="nl-BE"/>
        </w:rPr>
        <w:t xml:space="preserve">wetgever en de politicus moeten zich </w:t>
      </w:r>
      <w:r w:rsidRPr="00655D12">
        <w:rPr>
          <w:rFonts w:ascii="Verdana" w:hAnsi="Verdana"/>
          <w:b/>
          <w:bCs/>
          <w:color w:val="FF0000"/>
          <w:sz w:val="22"/>
          <w:szCs w:val="22"/>
          <w:lang w:val="nl-BE"/>
        </w:rPr>
        <w:t xml:space="preserve">effectief </w:t>
      </w:r>
      <w:r w:rsidRPr="00655D12">
        <w:rPr>
          <w:rFonts w:ascii="Verdana" w:hAnsi="Verdana"/>
          <w:b/>
          <w:bCs/>
          <w:color w:val="FF0000"/>
          <w:sz w:val="22"/>
          <w:szCs w:val="22"/>
          <w:u w:val="single"/>
          <w:lang w:val="nl-BE"/>
        </w:rPr>
        <w:t xml:space="preserve">inzetten </w:t>
      </w:r>
      <w:r w:rsidRPr="00655D12">
        <w:rPr>
          <w:rFonts w:ascii="Verdana" w:hAnsi="Verdana"/>
          <w:b/>
          <w:bCs/>
          <w:color w:val="FF0000"/>
          <w:sz w:val="22"/>
          <w:szCs w:val="22"/>
          <w:lang w:val="nl-BE"/>
        </w:rPr>
        <w:t>voor autonomie en inclusie</w:t>
      </w:r>
      <w:r w:rsidR="006F2D42" w:rsidRPr="00655D12">
        <w:rPr>
          <w:rFonts w:ascii="Verdana" w:hAnsi="Verdana"/>
          <w:b/>
          <w:bCs/>
          <w:color w:val="FF0000"/>
          <w:sz w:val="22"/>
          <w:szCs w:val="22"/>
          <w:lang w:val="nl-BE"/>
        </w:rPr>
        <w:t>.</w:t>
      </w:r>
    </w:p>
    <w:p w14:paraId="21768144" w14:textId="365B44A6" w:rsidR="5A7E23E5" w:rsidRPr="00655D12" w:rsidRDefault="5A7E23E5" w:rsidP="006F2D42">
      <w:pPr>
        <w:pStyle w:val="Lijstalinea"/>
        <w:numPr>
          <w:ilvl w:val="1"/>
          <w:numId w:val="1"/>
        </w:numPr>
        <w:rPr>
          <w:rFonts w:ascii="Verdana" w:hAnsi="Verdana"/>
          <w:b/>
          <w:bCs/>
          <w:sz w:val="22"/>
          <w:szCs w:val="22"/>
          <w:lang w:val="nl-BE"/>
        </w:rPr>
      </w:pPr>
      <w:r w:rsidRPr="00655D12">
        <w:rPr>
          <w:rFonts w:ascii="Verdana" w:hAnsi="Verdana"/>
          <w:b/>
          <w:bCs/>
          <w:sz w:val="22"/>
          <w:szCs w:val="22"/>
          <w:lang w:val="nl-BE"/>
        </w:rPr>
        <w:t>Een waardig leven leiden</w:t>
      </w:r>
      <w:r w:rsidR="006F2D42" w:rsidRPr="00655D12">
        <w:rPr>
          <w:rFonts w:ascii="Verdana" w:hAnsi="Verdana"/>
          <w:b/>
          <w:bCs/>
          <w:sz w:val="22"/>
          <w:szCs w:val="22"/>
          <w:lang w:val="nl-BE"/>
        </w:rPr>
        <w:t>: d</w:t>
      </w:r>
      <w:r w:rsidRPr="00655D12">
        <w:rPr>
          <w:rFonts w:ascii="Verdana" w:hAnsi="Verdana"/>
          <w:b/>
          <w:bCs/>
          <w:sz w:val="22"/>
          <w:szCs w:val="22"/>
          <w:lang w:val="nl-BE"/>
        </w:rPr>
        <w:t xml:space="preserve">e uitkeringen liggen ver </w:t>
      </w:r>
      <w:r w:rsidR="00E51A37" w:rsidRPr="00655D12">
        <w:rPr>
          <w:rFonts w:ascii="Verdana" w:hAnsi="Verdana"/>
          <w:b/>
          <w:bCs/>
          <w:sz w:val="22"/>
          <w:szCs w:val="22"/>
          <w:lang w:val="nl-BE"/>
        </w:rPr>
        <w:t xml:space="preserve">onder </w:t>
      </w:r>
      <w:r w:rsidRPr="00655D12">
        <w:rPr>
          <w:rFonts w:ascii="Verdana" w:hAnsi="Verdana"/>
          <w:b/>
          <w:bCs/>
          <w:sz w:val="22"/>
          <w:szCs w:val="22"/>
          <w:lang w:val="nl-BE"/>
        </w:rPr>
        <w:t xml:space="preserve">de armoedegrens. </w:t>
      </w:r>
    </w:p>
    <w:p w14:paraId="50C367FB" w14:textId="7A01189E" w:rsidR="2305B09B" w:rsidRPr="00655D12" w:rsidRDefault="374641FE" w:rsidP="27E52978">
      <w:pPr>
        <w:pStyle w:val="Lijstalinea"/>
        <w:numPr>
          <w:ilvl w:val="1"/>
          <w:numId w:val="1"/>
        </w:numPr>
        <w:rPr>
          <w:rFonts w:ascii="Verdana" w:hAnsi="Verdana"/>
          <w:b/>
          <w:bCs/>
          <w:sz w:val="22"/>
          <w:szCs w:val="22"/>
          <w:lang w:val="nl-BE"/>
        </w:rPr>
      </w:pPr>
      <w:r w:rsidRPr="00655D12">
        <w:rPr>
          <w:rFonts w:ascii="Verdana" w:hAnsi="Verdana"/>
          <w:b/>
          <w:bCs/>
          <w:sz w:val="22"/>
          <w:szCs w:val="22"/>
          <w:lang w:val="nl-BE"/>
        </w:rPr>
        <w:t xml:space="preserve">Deelnemen aan het maatschappelijk leven </w:t>
      </w:r>
      <w:r w:rsidR="0035401A" w:rsidRPr="00655D12">
        <w:rPr>
          <w:rFonts w:ascii="Verdana" w:hAnsi="Verdana"/>
          <w:b/>
          <w:bCs/>
          <w:sz w:val="22"/>
          <w:szCs w:val="22"/>
          <w:lang w:val="nl-BE"/>
        </w:rPr>
        <w:sym w:font="Wingdings" w:char="F0E8"/>
      </w:r>
      <w:r w:rsidRPr="00655D12">
        <w:rPr>
          <w:rFonts w:ascii="Verdana" w:hAnsi="Verdana"/>
          <w:b/>
          <w:bCs/>
          <w:sz w:val="22"/>
          <w:szCs w:val="22"/>
          <w:lang w:val="nl-BE"/>
        </w:rPr>
        <w:t xml:space="preserve"> </w:t>
      </w:r>
      <w:r w:rsidR="2305B09B" w:rsidRPr="00655D12">
        <w:rPr>
          <w:rFonts w:ascii="Verdana" w:hAnsi="Verdana"/>
          <w:b/>
          <w:bCs/>
          <w:sz w:val="22"/>
          <w:szCs w:val="22"/>
          <w:lang w:val="nl-BE"/>
        </w:rPr>
        <w:t>De omgeving veranderen</w:t>
      </w:r>
      <w:r w:rsidR="006F2D42" w:rsidRPr="00655D12">
        <w:rPr>
          <w:rFonts w:ascii="Verdana" w:hAnsi="Verdana"/>
          <w:b/>
          <w:bCs/>
          <w:sz w:val="22"/>
          <w:szCs w:val="22"/>
          <w:lang w:val="nl-BE"/>
        </w:rPr>
        <w:t>. Conform</w:t>
      </w:r>
      <w:r w:rsidR="00557995" w:rsidRPr="00655D12">
        <w:rPr>
          <w:rFonts w:ascii="Verdana" w:hAnsi="Verdana"/>
          <w:b/>
          <w:bCs/>
          <w:sz w:val="22"/>
          <w:szCs w:val="22"/>
          <w:lang w:val="nl-BE"/>
        </w:rPr>
        <w:t>:</w:t>
      </w:r>
    </w:p>
    <w:p w14:paraId="0D2A4E88" w14:textId="0BAABDE2" w:rsidR="3F38D9C4" w:rsidRPr="00655D12" w:rsidRDefault="3F38D9C4" w:rsidP="00557995">
      <w:pPr>
        <w:pStyle w:val="Lijstalinea"/>
        <w:numPr>
          <w:ilvl w:val="2"/>
          <w:numId w:val="1"/>
        </w:numPr>
        <w:rPr>
          <w:rFonts w:ascii="Verdana" w:hAnsi="Verdana"/>
          <w:sz w:val="22"/>
          <w:szCs w:val="22"/>
          <w:lang w:val="nl-BE"/>
        </w:rPr>
      </w:pPr>
      <w:hyperlink r:id="rId5">
        <w:r w:rsidRPr="00655D12">
          <w:rPr>
            <w:rStyle w:val="Hyperlink"/>
            <w:rFonts w:ascii="Verdana" w:hAnsi="Verdana"/>
            <w:sz w:val="22"/>
            <w:szCs w:val="22"/>
            <w:lang w:val="nl-BE"/>
          </w:rPr>
          <w:t>Verdrag inzake de rechten van personen met een handicap</w:t>
        </w:r>
      </w:hyperlink>
    </w:p>
    <w:p w14:paraId="4E89A1EC" w14:textId="30433735" w:rsidR="29452182" w:rsidRPr="00655D12" w:rsidRDefault="3F38D9C4" w:rsidP="00557995">
      <w:pPr>
        <w:pStyle w:val="Lijstalinea"/>
        <w:numPr>
          <w:ilvl w:val="2"/>
          <w:numId w:val="1"/>
        </w:numPr>
        <w:rPr>
          <w:rFonts w:ascii="Verdana" w:hAnsi="Verdana"/>
          <w:sz w:val="22"/>
          <w:szCs w:val="22"/>
          <w:lang w:val="nl-BE"/>
        </w:rPr>
      </w:pPr>
      <w:hyperlink r:id="rId6">
        <w:r w:rsidRPr="00655D12">
          <w:rPr>
            <w:rStyle w:val="Hyperlink"/>
            <w:rFonts w:ascii="Verdana" w:hAnsi="Verdana"/>
            <w:sz w:val="22"/>
            <w:szCs w:val="22"/>
            <w:lang w:val="nl-BE"/>
          </w:rPr>
          <w:t>Aanbevelingen 2024 van de VN-deskundigen aan België</w:t>
        </w:r>
      </w:hyperlink>
    </w:p>
    <w:p w14:paraId="1AB0FE0D" w14:textId="4FAD861C" w:rsidR="3F38D9C4" w:rsidRPr="00655D12" w:rsidRDefault="3F38D9C4" w:rsidP="00557995">
      <w:pPr>
        <w:pStyle w:val="Lijstalinea"/>
        <w:numPr>
          <w:ilvl w:val="2"/>
          <w:numId w:val="1"/>
        </w:numPr>
        <w:rPr>
          <w:rFonts w:ascii="Verdana" w:hAnsi="Verdana"/>
          <w:sz w:val="22"/>
          <w:szCs w:val="22"/>
          <w:lang w:val="nl-BE"/>
        </w:rPr>
      </w:pPr>
      <w:hyperlink r:id="rId7">
        <w:r w:rsidRPr="00655D12">
          <w:rPr>
            <w:rStyle w:val="Hyperlink"/>
            <w:rFonts w:ascii="Verdana" w:hAnsi="Verdana"/>
            <w:sz w:val="22"/>
            <w:szCs w:val="22"/>
            <w:lang w:val="nl-BE"/>
          </w:rPr>
          <w:t xml:space="preserve">Advies en standpunten </w:t>
        </w:r>
        <w:r w:rsidR="005A6689" w:rsidRPr="00655D12">
          <w:rPr>
            <w:rStyle w:val="Hyperlink"/>
            <w:rFonts w:ascii="Verdana" w:hAnsi="Verdana"/>
            <w:sz w:val="22"/>
            <w:szCs w:val="22"/>
            <w:lang w:val="nl-BE"/>
          </w:rPr>
          <w:t xml:space="preserve">van </w:t>
        </w:r>
        <w:r w:rsidRPr="00655D12">
          <w:rPr>
            <w:rStyle w:val="Hyperlink"/>
            <w:rFonts w:ascii="Verdana" w:hAnsi="Verdana"/>
            <w:sz w:val="22"/>
            <w:szCs w:val="22"/>
            <w:lang w:val="nl-BE"/>
          </w:rPr>
          <w:t>de</w:t>
        </w:r>
      </w:hyperlink>
      <w:r w:rsidRPr="00655D12">
        <w:rPr>
          <w:rFonts w:ascii="Verdana" w:hAnsi="Verdana"/>
          <w:sz w:val="22"/>
          <w:szCs w:val="22"/>
          <w:lang w:val="nl-BE"/>
        </w:rPr>
        <w:t xml:space="preserve"> </w:t>
      </w:r>
      <w:r w:rsidR="004E68B6" w:rsidRPr="00655D12">
        <w:rPr>
          <w:rFonts w:ascii="Verdana" w:hAnsi="Verdana"/>
          <w:sz w:val="22"/>
          <w:szCs w:val="22"/>
          <w:lang w:val="nl-BE"/>
        </w:rPr>
        <w:t>NHRPH</w:t>
      </w:r>
      <w:r w:rsidRPr="00655D12">
        <w:rPr>
          <w:rFonts w:ascii="Verdana" w:hAnsi="Verdana"/>
          <w:sz w:val="22"/>
          <w:szCs w:val="22"/>
          <w:lang w:val="nl-BE"/>
        </w:rPr>
        <w:t xml:space="preserve"> </w:t>
      </w:r>
    </w:p>
    <w:p w14:paraId="7AF0913F" w14:textId="77777777" w:rsidR="00557995" w:rsidRPr="00655D12" w:rsidRDefault="00557995" w:rsidP="00557995">
      <w:pPr>
        <w:pStyle w:val="Lijstalinea"/>
        <w:ind w:left="2160"/>
        <w:rPr>
          <w:rFonts w:ascii="Verdana" w:hAnsi="Verdana"/>
          <w:sz w:val="22"/>
          <w:szCs w:val="22"/>
          <w:lang w:val="nl-BE"/>
        </w:rPr>
      </w:pPr>
    </w:p>
    <w:p w14:paraId="6F2AA5E9" w14:textId="58849F11" w:rsidR="435F2673" w:rsidRPr="00655D12" w:rsidRDefault="00557995" w:rsidP="27E52978">
      <w:pPr>
        <w:pStyle w:val="Lijstalinea"/>
        <w:numPr>
          <w:ilvl w:val="1"/>
          <w:numId w:val="1"/>
        </w:numPr>
        <w:rPr>
          <w:rFonts w:ascii="Verdana" w:hAnsi="Verdana"/>
          <w:b/>
          <w:bCs/>
          <w:sz w:val="22"/>
          <w:szCs w:val="22"/>
          <w:lang w:val="nl-BE"/>
        </w:rPr>
      </w:pPr>
      <w:r w:rsidRPr="00655D12">
        <w:rPr>
          <w:rFonts w:ascii="Verdana" w:hAnsi="Verdana"/>
          <w:b/>
          <w:bCs/>
          <w:sz w:val="22"/>
          <w:szCs w:val="22"/>
          <w:lang w:val="nl-BE"/>
        </w:rPr>
        <w:t>Via:</w:t>
      </w:r>
    </w:p>
    <w:p w14:paraId="3E31E0A8" w14:textId="77777777" w:rsidR="00557995" w:rsidRPr="00655D12" w:rsidRDefault="33F4399B" w:rsidP="00557995">
      <w:pPr>
        <w:pStyle w:val="Lijstalinea"/>
        <w:numPr>
          <w:ilvl w:val="0"/>
          <w:numId w:val="5"/>
        </w:numPr>
        <w:ind w:left="2127"/>
        <w:rPr>
          <w:rFonts w:ascii="Verdana" w:hAnsi="Verdana"/>
          <w:b/>
          <w:bCs/>
          <w:color w:val="000000" w:themeColor="text1"/>
          <w:sz w:val="22"/>
          <w:szCs w:val="22"/>
          <w:lang w:val="nl-BE"/>
        </w:rPr>
      </w:pPr>
      <w:r w:rsidRPr="00655D12">
        <w:rPr>
          <w:rFonts w:ascii="Verdana" w:hAnsi="Verdana"/>
          <w:b/>
          <w:bCs/>
          <w:color w:val="000000" w:themeColor="text1"/>
          <w:sz w:val="22"/>
          <w:szCs w:val="22"/>
          <w:lang w:val="nl-BE"/>
        </w:rPr>
        <w:t xml:space="preserve">Universeel ontwerp: </w:t>
      </w:r>
      <w:r w:rsidR="529BFE28" w:rsidRPr="00655D12">
        <w:rPr>
          <w:rFonts w:ascii="Verdana" w:hAnsi="Verdana"/>
          <w:color w:val="000000" w:themeColor="text1"/>
          <w:sz w:val="22"/>
          <w:szCs w:val="22"/>
          <w:lang w:val="nl-BE"/>
        </w:rPr>
        <w:t>wat toegankelijk is voor personen met een handicap, is toegankelijk voor alle burgers.</w:t>
      </w:r>
    </w:p>
    <w:p w14:paraId="38761429" w14:textId="77777777" w:rsidR="00557995" w:rsidRPr="00655D12" w:rsidRDefault="00557995" w:rsidP="00557995">
      <w:pPr>
        <w:pStyle w:val="Lijstalinea"/>
        <w:numPr>
          <w:ilvl w:val="0"/>
          <w:numId w:val="5"/>
        </w:numPr>
        <w:ind w:left="2127"/>
        <w:rPr>
          <w:rFonts w:ascii="Verdana" w:hAnsi="Verdana"/>
          <w:color w:val="000000" w:themeColor="text1"/>
          <w:sz w:val="22"/>
          <w:szCs w:val="22"/>
          <w:lang w:val="nl-BE"/>
        </w:rPr>
      </w:pPr>
      <w:r w:rsidRPr="00655D12">
        <w:rPr>
          <w:rFonts w:ascii="Verdana" w:hAnsi="Verdana"/>
          <w:b/>
          <w:bCs/>
          <w:color w:val="000000" w:themeColor="text1"/>
          <w:sz w:val="22"/>
          <w:szCs w:val="22"/>
          <w:lang w:val="nl-BE"/>
        </w:rPr>
        <w:t>Z</w:t>
      </w:r>
      <w:r w:rsidR="1E2ED62C" w:rsidRPr="00655D12">
        <w:rPr>
          <w:rFonts w:ascii="Verdana" w:hAnsi="Verdana"/>
          <w:b/>
          <w:bCs/>
          <w:color w:val="000000" w:themeColor="text1"/>
          <w:sz w:val="22"/>
          <w:szCs w:val="22"/>
          <w:lang w:val="nl-BE"/>
        </w:rPr>
        <w:t>org ALTIJD voor niet-digitale alternatieven</w:t>
      </w:r>
      <w:r w:rsidR="0E1F747A" w:rsidRPr="00655D12">
        <w:rPr>
          <w:rFonts w:ascii="Verdana" w:hAnsi="Verdana"/>
          <w:b/>
          <w:bCs/>
          <w:color w:val="000000" w:themeColor="text1"/>
          <w:sz w:val="22"/>
          <w:szCs w:val="22"/>
          <w:lang w:val="nl-BE"/>
        </w:rPr>
        <w:t xml:space="preserve">: </w:t>
      </w:r>
      <w:r w:rsidR="0E1F747A" w:rsidRPr="00655D12">
        <w:rPr>
          <w:rFonts w:ascii="Verdana" w:hAnsi="Verdana"/>
          <w:color w:val="000000" w:themeColor="text1"/>
          <w:sz w:val="22"/>
          <w:szCs w:val="22"/>
          <w:lang w:val="nl-BE"/>
        </w:rPr>
        <w:t>een loket met personeel (afspraak ter plaatse, contactcentrum dat alle dagen van de week bereikbaar is ...)</w:t>
      </w:r>
    </w:p>
    <w:p w14:paraId="6A6E03AE" w14:textId="09310413" w:rsidR="75419C05" w:rsidRPr="00655D12" w:rsidRDefault="75419C05" w:rsidP="00557995">
      <w:pPr>
        <w:pStyle w:val="Lijstalinea"/>
        <w:numPr>
          <w:ilvl w:val="0"/>
          <w:numId w:val="5"/>
        </w:numPr>
        <w:ind w:left="2127"/>
        <w:rPr>
          <w:rFonts w:ascii="Verdana" w:hAnsi="Verdana"/>
          <w:color w:val="000000" w:themeColor="text1"/>
          <w:sz w:val="22"/>
          <w:szCs w:val="22"/>
          <w:lang w:val="nl-BE"/>
        </w:rPr>
      </w:pPr>
      <w:r w:rsidRPr="00655D12">
        <w:rPr>
          <w:rFonts w:ascii="Verdana" w:hAnsi="Verdana"/>
          <w:b/>
          <w:bCs/>
          <w:sz w:val="22"/>
          <w:szCs w:val="22"/>
          <w:lang w:val="nl-BE"/>
        </w:rPr>
        <w:lastRenderedPageBreak/>
        <w:t xml:space="preserve">Werk samen met de </w:t>
      </w:r>
      <w:r w:rsidR="004E68B6" w:rsidRPr="00655D12">
        <w:rPr>
          <w:rFonts w:ascii="Verdana" w:hAnsi="Verdana"/>
          <w:b/>
          <w:bCs/>
          <w:sz w:val="22"/>
          <w:szCs w:val="22"/>
          <w:lang w:val="nl-BE"/>
        </w:rPr>
        <w:t>NHRPH</w:t>
      </w:r>
      <w:r w:rsidRPr="00655D12">
        <w:rPr>
          <w:rFonts w:ascii="Verdana" w:hAnsi="Verdana"/>
          <w:b/>
          <w:bCs/>
          <w:sz w:val="22"/>
          <w:szCs w:val="22"/>
          <w:lang w:val="nl-BE"/>
        </w:rPr>
        <w:t xml:space="preserve"> en zijn deskundigen </w:t>
      </w:r>
    </w:p>
    <w:p w14:paraId="1B87688C" w14:textId="308BF98C" w:rsidR="75419C05" w:rsidRPr="00655D12" w:rsidRDefault="75419C05" w:rsidP="27E52978">
      <w:pPr>
        <w:pStyle w:val="Lijstalinea"/>
        <w:numPr>
          <w:ilvl w:val="3"/>
          <w:numId w:val="1"/>
        </w:numPr>
        <w:rPr>
          <w:rFonts w:ascii="Verdana" w:hAnsi="Verdana"/>
          <w:color w:val="FF0000"/>
          <w:sz w:val="22"/>
          <w:szCs w:val="22"/>
          <w:lang w:val="nl-BE"/>
        </w:rPr>
      </w:pPr>
      <w:r w:rsidRPr="00655D12">
        <w:rPr>
          <w:rFonts w:ascii="Verdana" w:hAnsi="Verdana"/>
          <w:b/>
          <w:bCs/>
          <w:color w:val="FF0000"/>
          <w:sz w:val="22"/>
          <w:szCs w:val="22"/>
          <w:lang w:val="nl-BE"/>
        </w:rPr>
        <w:t xml:space="preserve">Vanaf het begin </w:t>
      </w:r>
      <w:r w:rsidR="00557995" w:rsidRPr="00655D12">
        <w:rPr>
          <w:rFonts w:ascii="Verdana" w:hAnsi="Verdana"/>
          <w:b/>
          <w:bCs/>
          <w:color w:val="FF0000"/>
          <w:sz w:val="22"/>
          <w:szCs w:val="22"/>
          <w:lang w:val="nl-BE"/>
        </w:rPr>
        <w:t>van het</w:t>
      </w:r>
      <w:r w:rsidRPr="00655D12">
        <w:rPr>
          <w:rFonts w:ascii="Verdana" w:hAnsi="Verdana"/>
          <w:b/>
          <w:bCs/>
          <w:color w:val="FF0000"/>
          <w:sz w:val="22"/>
          <w:szCs w:val="22"/>
          <w:lang w:val="nl-BE"/>
        </w:rPr>
        <w:t xml:space="preserve"> overlegproces </w:t>
      </w:r>
    </w:p>
    <w:p w14:paraId="2DBED6CB" w14:textId="2F989DE4" w:rsidR="75419C05" w:rsidRPr="00655D12" w:rsidRDefault="75419C05" w:rsidP="27E52978">
      <w:pPr>
        <w:pStyle w:val="Lijstalinea"/>
        <w:numPr>
          <w:ilvl w:val="4"/>
          <w:numId w:val="1"/>
        </w:numPr>
        <w:rPr>
          <w:rFonts w:ascii="Verdana" w:hAnsi="Verdana"/>
          <w:sz w:val="22"/>
          <w:szCs w:val="22"/>
          <w:lang w:val="nl-BE"/>
        </w:rPr>
      </w:pPr>
      <w:r w:rsidRPr="00655D12">
        <w:rPr>
          <w:rFonts w:ascii="Verdana" w:hAnsi="Verdana"/>
          <w:sz w:val="22"/>
          <w:szCs w:val="22"/>
          <w:lang w:val="nl-BE"/>
        </w:rPr>
        <w:t xml:space="preserve">een advies vragen over een ontwerp-koninklijk besluit dat aan </w:t>
      </w:r>
      <w:r w:rsidR="51151FB4" w:rsidRPr="00655D12">
        <w:rPr>
          <w:rFonts w:ascii="Verdana" w:hAnsi="Verdana"/>
          <w:sz w:val="22"/>
          <w:szCs w:val="22"/>
          <w:lang w:val="nl-BE"/>
        </w:rPr>
        <w:t xml:space="preserve">de ministerraad </w:t>
      </w:r>
      <w:r w:rsidRPr="00655D12">
        <w:rPr>
          <w:rFonts w:ascii="Verdana" w:hAnsi="Verdana"/>
          <w:sz w:val="22"/>
          <w:szCs w:val="22"/>
          <w:lang w:val="nl-BE"/>
        </w:rPr>
        <w:t xml:space="preserve">wordt </w:t>
      </w:r>
      <w:r w:rsidR="2A029E12" w:rsidRPr="00655D12">
        <w:rPr>
          <w:rFonts w:ascii="Verdana" w:hAnsi="Verdana"/>
          <w:sz w:val="22"/>
          <w:szCs w:val="22"/>
          <w:lang w:val="nl-BE"/>
        </w:rPr>
        <w:t>voorgelegd</w:t>
      </w:r>
      <w:r w:rsidRPr="00655D12">
        <w:rPr>
          <w:rFonts w:ascii="Verdana" w:hAnsi="Verdana"/>
          <w:sz w:val="22"/>
          <w:szCs w:val="22"/>
          <w:lang w:val="nl-BE"/>
        </w:rPr>
        <w:t>, is te laat en onvolledig</w:t>
      </w:r>
      <w:r w:rsidR="59115A7E" w:rsidRPr="00655D12">
        <w:rPr>
          <w:rFonts w:ascii="Verdana" w:hAnsi="Verdana"/>
          <w:sz w:val="22"/>
          <w:szCs w:val="22"/>
          <w:lang w:val="nl-BE"/>
        </w:rPr>
        <w:t xml:space="preserve">! </w:t>
      </w:r>
    </w:p>
    <w:p w14:paraId="02B9ECEF" w14:textId="751606BA" w:rsidR="003F200C" w:rsidRPr="00655D12" w:rsidRDefault="003F200C" w:rsidP="27E52978">
      <w:pPr>
        <w:pStyle w:val="Lijstalinea"/>
        <w:numPr>
          <w:ilvl w:val="4"/>
          <w:numId w:val="1"/>
        </w:numPr>
        <w:rPr>
          <w:rFonts w:ascii="Verdana" w:hAnsi="Verdana"/>
          <w:sz w:val="22"/>
          <w:szCs w:val="22"/>
          <w:lang w:val="nl-BE"/>
        </w:rPr>
      </w:pPr>
      <w:r w:rsidRPr="00655D12">
        <w:rPr>
          <w:rFonts w:ascii="Verdana" w:hAnsi="Verdana"/>
          <w:sz w:val="22"/>
          <w:szCs w:val="22"/>
          <w:lang w:val="nl-BE"/>
        </w:rPr>
        <w:t xml:space="preserve">Deelname van het kabinet </w:t>
      </w:r>
      <w:r w:rsidR="39033718" w:rsidRPr="00655D12">
        <w:rPr>
          <w:rFonts w:ascii="Verdana" w:hAnsi="Verdana"/>
          <w:sz w:val="22"/>
          <w:szCs w:val="22"/>
          <w:lang w:val="nl-BE"/>
        </w:rPr>
        <w:t xml:space="preserve">aan de </w:t>
      </w:r>
      <w:r w:rsidR="665B4623" w:rsidRPr="00655D12">
        <w:rPr>
          <w:rFonts w:ascii="Verdana" w:hAnsi="Verdana"/>
          <w:sz w:val="22"/>
          <w:szCs w:val="22"/>
          <w:lang w:val="nl-BE"/>
        </w:rPr>
        <w:t>maandelijkse</w:t>
      </w:r>
      <w:r w:rsidR="39033718" w:rsidRPr="00655D12">
        <w:rPr>
          <w:rFonts w:ascii="Verdana" w:hAnsi="Verdana"/>
          <w:sz w:val="22"/>
          <w:szCs w:val="22"/>
          <w:lang w:val="nl-BE"/>
        </w:rPr>
        <w:t xml:space="preserve"> plenaire vergadering </w:t>
      </w:r>
      <w:r w:rsidRPr="00655D12">
        <w:rPr>
          <w:rFonts w:ascii="Verdana" w:hAnsi="Verdana"/>
          <w:sz w:val="22"/>
          <w:szCs w:val="22"/>
          <w:lang w:val="nl-BE"/>
        </w:rPr>
        <w:t xml:space="preserve">van de </w:t>
      </w:r>
      <w:r w:rsidR="004E68B6" w:rsidRPr="00655D12">
        <w:rPr>
          <w:rFonts w:ascii="Verdana" w:hAnsi="Verdana"/>
          <w:sz w:val="22"/>
          <w:szCs w:val="22"/>
          <w:lang w:val="nl-BE"/>
        </w:rPr>
        <w:t>NHRPH</w:t>
      </w:r>
    </w:p>
    <w:p w14:paraId="28BEB268" w14:textId="317DA8C1" w:rsidR="59115A7E" w:rsidRPr="00655D12" w:rsidRDefault="59115A7E" w:rsidP="27E52978">
      <w:pPr>
        <w:pStyle w:val="Lijstalinea"/>
        <w:numPr>
          <w:ilvl w:val="4"/>
          <w:numId w:val="1"/>
        </w:numPr>
        <w:rPr>
          <w:rFonts w:ascii="Verdana" w:hAnsi="Verdana"/>
          <w:sz w:val="22"/>
          <w:szCs w:val="22"/>
          <w:lang w:val="nl-BE"/>
        </w:rPr>
      </w:pPr>
      <w:r w:rsidRPr="00655D12">
        <w:rPr>
          <w:rFonts w:ascii="Verdana" w:hAnsi="Verdana"/>
          <w:sz w:val="22"/>
          <w:szCs w:val="22"/>
          <w:lang w:val="nl-BE"/>
        </w:rPr>
        <w:t xml:space="preserve">De </w:t>
      </w:r>
      <w:r w:rsidR="004E68B6" w:rsidRPr="00655D12">
        <w:rPr>
          <w:rFonts w:ascii="Verdana" w:hAnsi="Verdana"/>
          <w:sz w:val="22"/>
          <w:szCs w:val="22"/>
          <w:lang w:val="nl-BE"/>
        </w:rPr>
        <w:t>NHRPH</w:t>
      </w:r>
      <w:r w:rsidRPr="00655D12">
        <w:rPr>
          <w:rFonts w:ascii="Verdana" w:hAnsi="Verdana"/>
          <w:sz w:val="22"/>
          <w:szCs w:val="22"/>
          <w:lang w:val="nl-BE"/>
        </w:rPr>
        <w:t xml:space="preserve"> is geen technisch bureau, maar kan wel advies geven op basis van de problematiek </w:t>
      </w:r>
    </w:p>
    <w:p w14:paraId="0A9317A2" w14:textId="5C42954D" w:rsidR="78380746" w:rsidRPr="00655D12" w:rsidRDefault="78380746" w:rsidP="65964057">
      <w:pPr>
        <w:pStyle w:val="Lijstalinea"/>
        <w:numPr>
          <w:ilvl w:val="4"/>
          <w:numId w:val="1"/>
        </w:numPr>
        <w:rPr>
          <w:rFonts w:ascii="Verdana" w:hAnsi="Verdana"/>
          <w:sz w:val="22"/>
          <w:szCs w:val="22"/>
          <w:highlight w:val="yellow"/>
          <w:lang w:val="nl-BE"/>
        </w:rPr>
      </w:pPr>
      <w:r w:rsidRPr="00655D12">
        <w:rPr>
          <w:rFonts w:ascii="Verdana" w:hAnsi="Verdana"/>
          <w:sz w:val="22"/>
          <w:szCs w:val="22"/>
          <w:highlight w:val="yellow"/>
          <w:lang w:val="nl-BE"/>
        </w:rPr>
        <w:t xml:space="preserve">Suggestie van de </w:t>
      </w:r>
      <w:r w:rsidR="004E68B6" w:rsidRPr="00655D12">
        <w:rPr>
          <w:rFonts w:ascii="Verdana" w:hAnsi="Verdana"/>
          <w:sz w:val="22"/>
          <w:szCs w:val="22"/>
          <w:highlight w:val="yellow"/>
          <w:lang w:val="nl-BE"/>
        </w:rPr>
        <w:t>NHRPH</w:t>
      </w:r>
      <w:r w:rsidRPr="00655D12">
        <w:rPr>
          <w:rFonts w:ascii="Verdana" w:hAnsi="Verdana"/>
          <w:sz w:val="22"/>
          <w:szCs w:val="22"/>
          <w:highlight w:val="yellow"/>
          <w:lang w:val="nl-BE"/>
        </w:rPr>
        <w:t xml:space="preserve">: </w:t>
      </w:r>
      <w:r w:rsidR="00557995" w:rsidRPr="00655D12">
        <w:rPr>
          <w:rFonts w:ascii="Verdana" w:hAnsi="Verdana"/>
          <w:sz w:val="22"/>
          <w:szCs w:val="22"/>
          <w:highlight w:val="yellow"/>
          <w:lang w:val="nl-BE"/>
        </w:rPr>
        <w:t>systematische ontmoetingen.</w:t>
      </w:r>
    </w:p>
    <w:p w14:paraId="499E0750" w14:textId="137BA163" w:rsidR="03C930AB" w:rsidRPr="00655D12" w:rsidRDefault="03C930AB" w:rsidP="27E52978">
      <w:pPr>
        <w:pStyle w:val="Lijstalinea"/>
        <w:numPr>
          <w:ilvl w:val="4"/>
          <w:numId w:val="1"/>
        </w:numPr>
        <w:rPr>
          <w:rFonts w:ascii="Verdana" w:hAnsi="Verdana"/>
          <w:sz w:val="22"/>
          <w:szCs w:val="22"/>
          <w:lang w:val="nl-BE"/>
        </w:rPr>
      </w:pPr>
      <w:r w:rsidRPr="00655D12">
        <w:rPr>
          <w:rFonts w:ascii="Verdana" w:hAnsi="Verdana"/>
          <w:sz w:val="22"/>
          <w:szCs w:val="22"/>
          <w:lang w:val="nl-BE"/>
        </w:rPr>
        <w:t xml:space="preserve">De </w:t>
      </w:r>
      <w:r w:rsidR="004E68B6" w:rsidRPr="00655D12">
        <w:rPr>
          <w:rFonts w:ascii="Verdana" w:hAnsi="Verdana"/>
          <w:sz w:val="22"/>
          <w:szCs w:val="22"/>
          <w:lang w:val="nl-BE"/>
        </w:rPr>
        <w:t>NHRPH</w:t>
      </w:r>
      <w:r w:rsidRPr="00655D12">
        <w:rPr>
          <w:rFonts w:ascii="Verdana" w:hAnsi="Verdana"/>
          <w:sz w:val="22"/>
          <w:szCs w:val="22"/>
          <w:lang w:val="nl-BE"/>
        </w:rPr>
        <w:t xml:space="preserve"> kan vertrouwelijk werken </w:t>
      </w:r>
    </w:p>
    <w:p w14:paraId="277B1177" w14:textId="0ECCCD53" w:rsidR="03C930AB" w:rsidRPr="00655D12" w:rsidRDefault="03C930AB" w:rsidP="27E52978">
      <w:pPr>
        <w:pStyle w:val="Lijstalinea"/>
        <w:numPr>
          <w:ilvl w:val="4"/>
          <w:numId w:val="1"/>
        </w:numPr>
        <w:rPr>
          <w:rFonts w:ascii="Verdana" w:hAnsi="Verdana"/>
          <w:sz w:val="22"/>
          <w:szCs w:val="22"/>
          <w:lang w:val="fr-BE"/>
        </w:rPr>
      </w:pPr>
      <w:r w:rsidRPr="00655D12">
        <w:rPr>
          <w:rFonts w:ascii="Verdana" w:hAnsi="Verdana"/>
          <w:sz w:val="22"/>
          <w:szCs w:val="22"/>
          <w:lang w:val="fr-BE"/>
        </w:rPr>
        <w:t>= Win-</w:t>
      </w:r>
      <w:proofErr w:type="spellStart"/>
      <w:r w:rsidRPr="00655D12">
        <w:rPr>
          <w:rFonts w:ascii="Verdana" w:hAnsi="Verdana"/>
          <w:sz w:val="22"/>
          <w:szCs w:val="22"/>
          <w:lang w:val="fr-BE"/>
        </w:rPr>
        <w:t>win</w:t>
      </w:r>
      <w:proofErr w:type="spellEnd"/>
      <w:r w:rsidRPr="00655D12">
        <w:rPr>
          <w:rFonts w:ascii="Verdana" w:hAnsi="Verdana"/>
          <w:sz w:val="22"/>
          <w:szCs w:val="22"/>
          <w:lang w:val="fr-BE"/>
        </w:rPr>
        <w:t xml:space="preserve">! </w:t>
      </w:r>
    </w:p>
    <w:p w14:paraId="7F98EFEE" w14:textId="41E87E81" w:rsidR="45354444" w:rsidRPr="00655D12" w:rsidRDefault="45354444" w:rsidP="27E52978">
      <w:pPr>
        <w:pStyle w:val="Lijstalinea"/>
        <w:numPr>
          <w:ilvl w:val="3"/>
          <w:numId w:val="1"/>
        </w:numPr>
        <w:rPr>
          <w:rFonts w:ascii="Verdana" w:hAnsi="Verdana"/>
          <w:sz w:val="22"/>
          <w:szCs w:val="22"/>
          <w:lang w:val="nl-BE"/>
        </w:rPr>
      </w:pPr>
      <w:r w:rsidRPr="00655D12">
        <w:rPr>
          <w:rFonts w:ascii="Verdana" w:hAnsi="Verdana"/>
          <w:sz w:val="22"/>
          <w:szCs w:val="22"/>
          <w:lang w:val="nl-BE"/>
        </w:rPr>
        <w:t xml:space="preserve">Verzoeken worden doorgegeven via </w:t>
      </w:r>
      <w:r w:rsidRPr="00655D12">
        <w:rPr>
          <w:rFonts w:ascii="Verdana" w:hAnsi="Verdana"/>
          <w:b/>
          <w:bCs/>
          <w:sz w:val="22"/>
          <w:szCs w:val="22"/>
          <w:lang w:val="nl-BE"/>
        </w:rPr>
        <w:t xml:space="preserve">de voorzitter </w:t>
      </w:r>
      <w:r w:rsidR="3B0DEBC8" w:rsidRPr="00655D12">
        <w:rPr>
          <w:rFonts w:ascii="Verdana" w:hAnsi="Verdana"/>
          <w:b/>
          <w:bCs/>
          <w:sz w:val="22"/>
          <w:szCs w:val="22"/>
          <w:lang w:val="nl-BE"/>
        </w:rPr>
        <w:t xml:space="preserve">en </w:t>
      </w:r>
      <w:r w:rsidRPr="00655D12">
        <w:rPr>
          <w:rFonts w:ascii="Verdana" w:hAnsi="Verdana"/>
          <w:b/>
          <w:bCs/>
          <w:sz w:val="22"/>
          <w:szCs w:val="22"/>
          <w:lang w:val="nl-BE"/>
        </w:rPr>
        <w:t>het secretariaat</w:t>
      </w:r>
    </w:p>
    <w:p w14:paraId="2E85A75E" w14:textId="77777777" w:rsidR="00EA1D3A" w:rsidRPr="00655D12" w:rsidRDefault="00EA1D3A" w:rsidP="00EA1D3A">
      <w:pPr>
        <w:ind w:left="720" w:hanging="360"/>
        <w:rPr>
          <w:rFonts w:ascii="Verdana" w:hAnsi="Verdana"/>
          <w:sz w:val="22"/>
          <w:szCs w:val="22"/>
          <w:lang w:val="nl-BE"/>
        </w:rPr>
      </w:pPr>
    </w:p>
    <w:p w14:paraId="587295AB" w14:textId="3E10BB59" w:rsidR="00EA1D3A" w:rsidRPr="00655D12" w:rsidRDefault="00EA1D3A" w:rsidP="00EA1D3A">
      <w:pPr>
        <w:pStyle w:val="Lijstalinea"/>
        <w:pBdr>
          <w:top w:val="single" w:sz="4" w:space="1" w:color="auto"/>
          <w:left w:val="single" w:sz="4" w:space="4" w:color="auto"/>
          <w:bottom w:val="single" w:sz="4" w:space="1" w:color="auto"/>
          <w:right w:val="single" w:sz="4" w:space="4" w:color="auto"/>
        </w:pBdr>
        <w:rPr>
          <w:rFonts w:ascii="Verdana" w:hAnsi="Verdana"/>
          <w:b/>
          <w:bCs/>
          <w:sz w:val="22"/>
          <w:szCs w:val="22"/>
          <w:lang w:val="nl-BE"/>
        </w:rPr>
      </w:pPr>
      <w:r w:rsidRPr="00655D12">
        <w:rPr>
          <w:rFonts w:ascii="Verdana" w:hAnsi="Verdana"/>
          <w:b/>
          <w:bCs/>
          <w:sz w:val="22"/>
          <w:szCs w:val="22"/>
          <w:lang w:val="nl-BE"/>
        </w:rPr>
        <w:t xml:space="preserve">2. Samenvatting van de aandachtspunten </w:t>
      </w:r>
      <w:r w:rsidR="008C5E95" w:rsidRPr="00655D12">
        <w:rPr>
          <w:rFonts w:ascii="Verdana" w:hAnsi="Verdana"/>
          <w:b/>
          <w:bCs/>
          <w:sz w:val="22"/>
          <w:szCs w:val="22"/>
          <w:lang w:val="nl-BE"/>
        </w:rPr>
        <w:t xml:space="preserve">van de </w:t>
      </w:r>
      <w:r w:rsidR="004E68B6" w:rsidRPr="00655D12">
        <w:rPr>
          <w:rFonts w:ascii="Verdana" w:hAnsi="Verdana"/>
          <w:b/>
          <w:bCs/>
          <w:sz w:val="22"/>
          <w:szCs w:val="22"/>
          <w:lang w:val="nl-BE"/>
        </w:rPr>
        <w:t>NHRPH</w:t>
      </w:r>
      <w:r w:rsidR="008C5E95" w:rsidRPr="00655D12">
        <w:rPr>
          <w:rFonts w:ascii="Verdana" w:hAnsi="Verdana"/>
          <w:b/>
          <w:bCs/>
          <w:sz w:val="22"/>
          <w:szCs w:val="22"/>
          <w:lang w:val="nl-BE"/>
        </w:rPr>
        <w:t xml:space="preserve"> </w:t>
      </w:r>
    </w:p>
    <w:p w14:paraId="7D0D2067" w14:textId="77777777" w:rsidR="00B5715C" w:rsidRPr="00655D12" w:rsidRDefault="00B5715C" w:rsidP="00B5715C">
      <w:pPr>
        <w:rPr>
          <w:rFonts w:ascii="Verdana" w:hAnsi="Verdana"/>
          <w:b/>
          <w:bCs/>
          <w:sz w:val="22"/>
          <w:szCs w:val="22"/>
          <w:lang w:val="nl-BE"/>
        </w:rPr>
      </w:pPr>
    </w:p>
    <w:p w14:paraId="36B9BE87" w14:textId="272A3CA9" w:rsidR="00B5715C" w:rsidRPr="00655D12" w:rsidRDefault="00B5715C" w:rsidP="00BC76F6">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Voldoen aan het quotum van 3% voor tewerkstelling van personen met een handicap in de overheidsdiensten waarvoor u verantwoordelijk bent.</w:t>
      </w:r>
      <w:r w:rsidRPr="00655D12">
        <w:rPr>
          <w:rFonts w:ascii="Verdana" w:eastAsia="Verdana" w:hAnsi="Verdana" w:cs="Verdana"/>
          <w:sz w:val="22"/>
          <w:szCs w:val="22"/>
          <w:lang w:val="nl-BE"/>
        </w:rPr>
        <w:t xml:space="preserve"> </w:t>
      </w:r>
      <w:r w:rsidR="00BC76F6" w:rsidRPr="00655D12">
        <w:rPr>
          <w:rFonts w:ascii="Verdana" w:eastAsia="Verdana" w:hAnsi="Verdana" w:cs="Verdana"/>
          <w:sz w:val="22"/>
          <w:szCs w:val="22"/>
          <w:lang w:val="nl-BE"/>
        </w:rPr>
        <w:br/>
      </w:r>
    </w:p>
    <w:p w14:paraId="6BDC5FAB" w14:textId="34391CC2" w:rsidR="00B5715C" w:rsidRPr="00655D12" w:rsidRDefault="00B5715C" w:rsidP="00B5715C">
      <w:pPr>
        <w:pStyle w:val="Lijstalinea"/>
        <w:numPr>
          <w:ilvl w:val="0"/>
          <w:numId w:val="11"/>
        </w:numPr>
        <w:spacing w:after="0" w:line="240" w:lineRule="auto"/>
        <w:rPr>
          <w:rFonts w:ascii="Verdana" w:eastAsia="Verdana" w:hAnsi="Verdana" w:cs="Verdana"/>
          <w:b/>
          <w:bCs/>
          <w:sz w:val="22"/>
          <w:szCs w:val="22"/>
          <w:lang w:val="nl-BE"/>
        </w:rPr>
      </w:pPr>
      <w:r w:rsidRPr="00655D12">
        <w:rPr>
          <w:rFonts w:ascii="Verdana" w:eastAsia="Verdana" w:hAnsi="Verdana" w:cs="Verdana"/>
          <w:b/>
          <w:bCs/>
          <w:sz w:val="22"/>
          <w:szCs w:val="22"/>
          <w:lang w:val="nl-BE"/>
        </w:rPr>
        <w:t xml:space="preserve">Kunnen Defensie en de Politie </w:t>
      </w:r>
      <w:r w:rsidR="00BC76F6" w:rsidRPr="00655D12">
        <w:rPr>
          <w:rFonts w:ascii="Verdana" w:eastAsia="Verdana" w:hAnsi="Verdana" w:cs="Verdana"/>
          <w:b/>
          <w:bCs/>
          <w:sz w:val="22"/>
          <w:szCs w:val="22"/>
          <w:lang w:val="nl-BE"/>
        </w:rPr>
        <w:t>terug opgenomen worden in het KB?</w:t>
      </w:r>
    </w:p>
    <w:p w14:paraId="4162E726" w14:textId="77777777" w:rsidR="00BC76F6" w:rsidRPr="00655D12" w:rsidRDefault="00BC76F6" w:rsidP="00BC76F6">
      <w:pPr>
        <w:pStyle w:val="Lijstalinea"/>
        <w:spacing w:after="0" w:line="240" w:lineRule="auto"/>
        <w:rPr>
          <w:rFonts w:ascii="Verdana" w:eastAsia="Verdana" w:hAnsi="Verdana" w:cs="Verdana"/>
          <w:sz w:val="22"/>
          <w:szCs w:val="22"/>
          <w:lang w:val="nl-BE"/>
        </w:rPr>
      </w:pPr>
    </w:p>
    <w:p w14:paraId="0ECF1B90" w14:textId="77777777" w:rsidR="00B5715C" w:rsidRPr="00655D12" w:rsidRDefault="00B5715C" w:rsidP="00B5715C">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xml:space="preserve">- De Wet tot hervorming van de regelingen inzake onbekwaamheid en tot instelling van een nieuwe beschermingsstatus die strookt met de menselijke waardigheid werd geëvalueerd. Wat is uw standpunt over dit </w:t>
      </w:r>
      <w:hyperlink r:id="rId8" w:history="1">
        <w:r w:rsidRPr="00655D12">
          <w:rPr>
            <w:rStyle w:val="Hyperlink"/>
            <w:rFonts w:ascii="Verdana" w:eastAsia="Verdana" w:hAnsi="Verdana" w:cs="Verdana"/>
            <w:sz w:val="22"/>
            <w:szCs w:val="22"/>
            <w:lang w:val="nl-BE"/>
          </w:rPr>
          <w:t>evaluatierapport</w:t>
        </w:r>
      </w:hyperlink>
      <w:r w:rsidRPr="00655D12">
        <w:rPr>
          <w:rFonts w:ascii="Verdana" w:eastAsia="Verdana" w:hAnsi="Verdana" w:cs="Verdana"/>
          <w:sz w:val="22"/>
          <w:szCs w:val="22"/>
          <w:lang w:val="nl-BE"/>
        </w:rPr>
        <w:t>?</w:t>
      </w:r>
    </w:p>
    <w:p w14:paraId="65FB6682" w14:textId="77777777" w:rsidR="00BC76F6" w:rsidRPr="00655D12" w:rsidRDefault="00BC76F6" w:rsidP="00B5715C">
      <w:pPr>
        <w:spacing w:after="0" w:line="240" w:lineRule="auto"/>
        <w:rPr>
          <w:rFonts w:ascii="Verdana" w:eastAsia="Verdana" w:hAnsi="Verdana" w:cs="Verdana"/>
          <w:sz w:val="22"/>
          <w:szCs w:val="22"/>
          <w:lang w:val="nl-BE"/>
        </w:rPr>
      </w:pPr>
    </w:p>
    <w:p w14:paraId="3B0FBF43" w14:textId="0A090CE8" w:rsidR="00BC76F6" w:rsidRPr="00655D12" w:rsidRDefault="00BC76F6" w:rsidP="00BC76F6">
      <w:pPr>
        <w:pStyle w:val="Lijstalinea"/>
        <w:numPr>
          <w:ilvl w:val="0"/>
          <w:numId w:val="11"/>
        </w:numPr>
        <w:spacing w:after="0" w:line="240" w:lineRule="auto"/>
        <w:rPr>
          <w:rFonts w:ascii="Verdana" w:eastAsia="Verdana" w:hAnsi="Verdana" w:cs="Verdana"/>
          <w:b/>
          <w:bCs/>
          <w:sz w:val="22"/>
          <w:szCs w:val="22"/>
          <w:lang w:val="nl-BE"/>
        </w:rPr>
      </w:pPr>
      <w:r w:rsidRPr="00655D12">
        <w:rPr>
          <w:rFonts w:ascii="Verdana" w:eastAsia="Verdana" w:hAnsi="Verdana" w:cs="Verdana"/>
          <w:b/>
          <w:bCs/>
          <w:sz w:val="22"/>
          <w:szCs w:val="22"/>
          <w:lang w:val="nl-BE"/>
        </w:rPr>
        <w:t>Wat is de stand van zaken inzake het s</w:t>
      </w:r>
      <w:r w:rsidR="00B5715C" w:rsidRPr="00655D12">
        <w:rPr>
          <w:rFonts w:ascii="Verdana" w:eastAsia="Verdana" w:hAnsi="Verdana" w:cs="Verdana"/>
          <w:b/>
          <w:bCs/>
          <w:sz w:val="22"/>
          <w:szCs w:val="22"/>
          <w:lang w:val="nl-BE"/>
        </w:rPr>
        <w:t>tatuut</w:t>
      </w:r>
      <w:r w:rsidRPr="00655D12">
        <w:rPr>
          <w:rFonts w:ascii="Verdana" w:eastAsia="Verdana" w:hAnsi="Verdana" w:cs="Verdana"/>
          <w:b/>
          <w:bCs/>
          <w:sz w:val="22"/>
          <w:szCs w:val="22"/>
          <w:lang w:val="nl-BE"/>
        </w:rPr>
        <w:t xml:space="preserve"> en de vergoeding van de bewindvoerder, de</w:t>
      </w:r>
      <w:r w:rsidR="00B5715C" w:rsidRPr="00655D12">
        <w:rPr>
          <w:rFonts w:ascii="Verdana" w:eastAsia="Verdana" w:hAnsi="Verdana" w:cs="Verdana"/>
          <w:b/>
          <w:bCs/>
          <w:sz w:val="22"/>
          <w:szCs w:val="22"/>
          <w:lang w:val="nl-BE"/>
        </w:rPr>
        <w:t xml:space="preserve"> deontologische code, </w:t>
      </w:r>
      <w:r w:rsidRPr="00655D12">
        <w:rPr>
          <w:rFonts w:ascii="Verdana" w:eastAsia="Verdana" w:hAnsi="Verdana" w:cs="Verdana"/>
          <w:b/>
          <w:bCs/>
          <w:sz w:val="22"/>
          <w:szCs w:val="22"/>
          <w:lang w:val="nl-BE"/>
        </w:rPr>
        <w:t xml:space="preserve">het </w:t>
      </w:r>
      <w:r w:rsidR="00B5715C" w:rsidRPr="00655D12">
        <w:rPr>
          <w:rFonts w:ascii="Verdana" w:eastAsia="Verdana" w:hAnsi="Verdana" w:cs="Verdana"/>
          <w:b/>
          <w:bCs/>
          <w:sz w:val="22"/>
          <w:szCs w:val="22"/>
          <w:lang w:val="nl-BE"/>
        </w:rPr>
        <w:t xml:space="preserve">CRBP, </w:t>
      </w:r>
      <w:r w:rsidRPr="00655D12">
        <w:rPr>
          <w:rFonts w:ascii="Verdana" w:eastAsia="Verdana" w:hAnsi="Verdana" w:cs="Verdana"/>
          <w:b/>
          <w:bCs/>
          <w:sz w:val="22"/>
          <w:szCs w:val="22"/>
          <w:lang w:val="nl-BE"/>
        </w:rPr>
        <w:t xml:space="preserve">de </w:t>
      </w:r>
      <w:r w:rsidR="00B5715C" w:rsidRPr="00655D12">
        <w:rPr>
          <w:rFonts w:ascii="Verdana" w:eastAsia="Verdana" w:hAnsi="Verdana" w:cs="Verdana"/>
          <w:b/>
          <w:bCs/>
          <w:sz w:val="22"/>
          <w:szCs w:val="22"/>
          <w:lang w:val="nl-BE"/>
        </w:rPr>
        <w:t xml:space="preserve">opleiding </w:t>
      </w:r>
      <w:r w:rsidRPr="00655D12">
        <w:rPr>
          <w:rFonts w:ascii="Verdana" w:eastAsia="Verdana" w:hAnsi="Verdana" w:cs="Verdana"/>
          <w:b/>
          <w:bCs/>
          <w:sz w:val="22"/>
          <w:szCs w:val="22"/>
          <w:lang w:val="nl-BE"/>
        </w:rPr>
        <w:t xml:space="preserve">voor </w:t>
      </w:r>
      <w:r w:rsidR="00B5715C" w:rsidRPr="00655D12">
        <w:rPr>
          <w:rFonts w:ascii="Verdana" w:eastAsia="Verdana" w:hAnsi="Verdana" w:cs="Verdana"/>
          <w:b/>
          <w:bCs/>
          <w:sz w:val="22"/>
          <w:szCs w:val="22"/>
          <w:lang w:val="nl-BE"/>
        </w:rPr>
        <w:t xml:space="preserve">bewindvoerders, </w:t>
      </w:r>
      <w:r w:rsidRPr="00655D12">
        <w:rPr>
          <w:rFonts w:ascii="Verdana" w:eastAsia="Verdana" w:hAnsi="Verdana" w:cs="Verdana"/>
          <w:b/>
          <w:bCs/>
          <w:sz w:val="22"/>
          <w:szCs w:val="22"/>
          <w:lang w:val="nl-BE"/>
        </w:rPr>
        <w:t xml:space="preserve">de </w:t>
      </w:r>
      <w:r w:rsidR="00B5715C" w:rsidRPr="00655D12">
        <w:rPr>
          <w:rFonts w:ascii="Verdana" w:eastAsia="Verdana" w:hAnsi="Verdana" w:cs="Verdana"/>
          <w:b/>
          <w:bCs/>
          <w:sz w:val="22"/>
          <w:szCs w:val="22"/>
          <w:lang w:val="nl-BE"/>
        </w:rPr>
        <w:t>checklist</w:t>
      </w:r>
      <w:r w:rsidRPr="00655D12">
        <w:rPr>
          <w:rFonts w:ascii="Verdana" w:eastAsia="Verdana" w:hAnsi="Verdana" w:cs="Verdana"/>
          <w:b/>
          <w:bCs/>
          <w:sz w:val="22"/>
          <w:szCs w:val="22"/>
          <w:lang w:val="nl-BE"/>
        </w:rPr>
        <w:t xml:space="preserve"> gebruikt door de</w:t>
      </w:r>
      <w:r w:rsidR="00B5715C" w:rsidRPr="00655D12">
        <w:rPr>
          <w:rFonts w:ascii="Verdana" w:eastAsia="Verdana" w:hAnsi="Verdana" w:cs="Verdana"/>
          <w:b/>
          <w:bCs/>
          <w:sz w:val="22"/>
          <w:szCs w:val="22"/>
          <w:lang w:val="nl-BE"/>
        </w:rPr>
        <w:t xml:space="preserve"> vrederechters</w:t>
      </w:r>
      <w:r w:rsidRPr="00655D12">
        <w:rPr>
          <w:rFonts w:ascii="Verdana" w:eastAsia="Verdana" w:hAnsi="Verdana" w:cs="Verdana"/>
          <w:b/>
          <w:bCs/>
          <w:sz w:val="22"/>
          <w:szCs w:val="22"/>
          <w:lang w:val="nl-BE"/>
        </w:rPr>
        <w:t xml:space="preserve"> die het stemrecht afneemt?</w:t>
      </w:r>
    </w:p>
    <w:p w14:paraId="5645D5F3" w14:textId="77777777" w:rsidR="00BC76F6" w:rsidRPr="00655D12" w:rsidRDefault="00BC76F6" w:rsidP="00BC76F6">
      <w:pPr>
        <w:pStyle w:val="Lijstalinea"/>
        <w:numPr>
          <w:ilvl w:val="0"/>
          <w:numId w:val="11"/>
        </w:num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In de regeerverklaring worden de voordelen in het kader van de ziekteverzekering vrijgesteld maar in het kader van de vergoeding bewindvoerders is dit niet zo? Helaas bepaalt het KB, https://www.ejustice.just.fgov.be/cgi/article_body(...): “Basisinkomen waarop de forfaitaire vergoeding van toepassing is:</w:t>
      </w:r>
    </w:p>
    <w:p w14:paraId="502DA9D6" w14:textId="77777777" w:rsidR="00BC76F6" w:rsidRPr="00655D12" w:rsidRDefault="00BC76F6" w:rsidP="00BC76F6">
      <w:pPr>
        <w:spacing w:after="0" w:line="240" w:lineRule="auto"/>
        <w:ind w:left="1440"/>
        <w:rPr>
          <w:rFonts w:ascii="Verdana" w:eastAsia="Verdana" w:hAnsi="Verdana" w:cs="Verdana"/>
          <w:sz w:val="22"/>
          <w:szCs w:val="22"/>
          <w:lang w:val="nl-BE"/>
        </w:rPr>
      </w:pPr>
    </w:p>
    <w:p w14:paraId="02D9596D"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 xml:space="preserve">11° de kinder- of </w:t>
      </w:r>
      <w:proofErr w:type="spellStart"/>
      <w:r w:rsidRPr="00655D12">
        <w:rPr>
          <w:rFonts w:ascii="Verdana" w:eastAsia="Verdana" w:hAnsi="Verdana" w:cs="Verdana"/>
          <w:sz w:val="22"/>
          <w:szCs w:val="22"/>
          <w:lang w:val="nl-BE"/>
        </w:rPr>
        <w:t>wezenbijslag</w:t>
      </w:r>
      <w:proofErr w:type="spellEnd"/>
      <w:r w:rsidRPr="00655D12">
        <w:rPr>
          <w:rFonts w:ascii="Verdana" w:eastAsia="Verdana" w:hAnsi="Verdana" w:cs="Verdana"/>
          <w:sz w:val="22"/>
          <w:szCs w:val="22"/>
          <w:lang w:val="nl-BE"/>
        </w:rPr>
        <w:t xml:space="preserve"> van de beschermde persoon zelf; </w:t>
      </w:r>
    </w:p>
    <w:p w14:paraId="6748668A"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 xml:space="preserve">12° vervangingsinkomsten zoals werkloosheids-, ziekte- en invaliditeitsuitkeringen, aanvullende uitkeringen wegens ziekte, invaliditeit, beroepsziekte of arbeidsongeval en de </w:t>
      </w:r>
      <w:proofErr w:type="spellStart"/>
      <w:r w:rsidRPr="00655D12">
        <w:rPr>
          <w:rFonts w:ascii="Verdana" w:eastAsia="Verdana" w:hAnsi="Verdana" w:cs="Verdana"/>
          <w:sz w:val="22"/>
          <w:szCs w:val="22"/>
          <w:lang w:val="nl-BE"/>
        </w:rPr>
        <w:t>inkomensvervangende</w:t>
      </w:r>
      <w:proofErr w:type="spellEnd"/>
      <w:r w:rsidRPr="00655D12">
        <w:rPr>
          <w:rFonts w:ascii="Verdana" w:eastAsia="Verdana" w:hAnsi="Verdana" w:cs="Verdana"/>
          <w:sz w:val="22"/>
          <w:szCs w:val="22"/>
          <w:lang w:val="nl-BE"/>
        </w:rPr>
        <w:t xml:space="preserve"> tegemoetkomingen, met uitzondering van uitkeringen die bedoeld zijn om een specifieke uitgave te compenseren; </w:t>
      </w:r>
    </w:p>
    <w:p w14:paraId="5F92A1F6"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lastRenderedPageBreak/>
        <w:t xml:space="preserve">13° het leefloon zoals bepaald in de wet van 26 mei 2002 betreffende het recht op maatschappelijke integratie; </w:t>
      </w:r>
    </w:p>
    <w:p w14:paraId="175C4571"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 xml:space="preserve">14° de integratietegemoetkoming voor personen met een handicap, het zorgbudget en het vrij besteedbaar gedeelte van de tegemoetkomingen voor personen met een handicap, met uitzondering van uitkeringen die bedoeld zijn om een specifieke uitgave te compenseren; </w:t>
      </w:r>
    </w:p>
    <w:p w14:paraId="49E0C92E"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 xml:space="preserve">15° de tegemoetkomingen aan ouderen, zoals het zorgbudget voor ouderen met zorgnood en de inkomensgarantie voor ouderen, met uitzondering van uitkeringen die bedoeld zijn om een specifieke uitgave te compenseren; </w:t>
      </w:r>
    </w:p>
    <w:p w14:paraId="4F92CE57" w14:textId="77777777"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 xml:space="preserve">16° de uitkeringen van een zorgverzekering, met uitzondering van de terugbetaling van geneeskundige verstrekkingen of van uitkeringen die bedoeld zijn om een specifieke uitgave te compenseren; </w:t>
      </w:r>
    </w:p>
    <w:p w14:paraId="61CD30AC" w14:textId="4E02B745" w:rsidR="00BC76F6" w:rsidRPr="00655D12" w:rsidRDefault="00BC76F6" w:rsidP="00BC76F6">
      <w:pPr>
        <w:spacing w:after="0" w:line="240" w:lineRule="auto"/>
        <w:ind w:left="1440"/>
        <w:rPr>
          <w:rFonts w:ascii="Verdana" w:eastAsia="Verdana" w:hAnsi="Verdana" w:cs="Verdana"/>
          <w:sz w:val="22"/>
          <w:szCs w:val="22"/>
          <w:lang w:val="nl-BE"/>
        </w:rPr>
      </w:pPr>
      <w:r w:rsidRPr="00655D12">
        <w:rPr>
          <w:rFonts w:ascii="Verdana" w:eastAsia="Verdana" w:hAnsi="Verdana" w:cs="Verdana"/>
          <w:sz w:val="22"/>
          <w:szCs w:val="22"/>
          <w:lang w:val="nl-BE"/>
        </w:rPr>
        <w:t>17° het leefloon voor studenten of andere studietoelagen voor de beschermde persoon;”</w:t>
      </w:r>
    </w:p>
    <w:p w14:paraId="7099498A" w14:textId="77777777" w:rsidR="00BC76F6" w:rsidRPr="00655D12" w:rsidRDefault="00BC76F6" w:rsidP="00BC76F6">
      <w:pPr>
        <w:spacing w:after="0" w:line="240" w:lineRule="auto"/>
        <w:ind w:left="1440"/>
        <w:rPr>
          <w:rFonts w:ascii="Verdana" w:eastAsia="Verdana" w:hAnsi="Verdana" w:cs="Verdana"/>
          <w:sz w:val="22"/>
          <w:szCs w:val="22"/>
          <w:lang w:val="nl-BE"/>
        </w:rPr>
      </w:pPr>
    </w:p>
    <w:p w14:paraId="7D4A1FF0" w14:textId="00FDA3D5" w:rsidR="00BC76F6" w:rsidRPr="00655D12" w:rsidRDefault="00BC76F6" w:rsidP="00BC76F6">
      <w:pPr>
        <w:pStyle w:val="Lijstalinea"/>
        <w:numPr>
          <w:ilvl w:val="0"/>
          <w:numId w:val="13"/>
        </w:numPr>
        <w:spacing w:after="0" w:line="240" w:lineRule="auto"/>
        <w:rPr>
          <w:rFonts w:ascii="Verdana" w:eastAsia="Verdana" w:hAnsi="Verdana" w:cs="Verdana"/>
          <w:b/>
          <w:bCs/>
          <w:sz w:val="22"/>
          <w:szCs w:val="22"/>
          <w:lang w:val="nl-BE"/>
        </w:rPr>
      </w:pPr>
      <w:r w:rsidRPr="00655D12">
        <w:rPr>
          <w:rFonts w:ascii="Verdana" w:eastAsia="Verdana" w:hAnsi="Verdana" w:cs="Verdana"/>
          <w:b/>
          <w:bCs/>
          <w:sz w:val="22"/>
          <w:szCs w:val="22"/>
          <w:lang w:val="nl-BE"/>
        </w:rPr>
        <w:t>IVT en IT zijn geen inkomsten en dienen dus vrijgesteld te worden zodat ze maximaal kunnen ingezet worden ter participatie en ter integratie op basis van gelijkheid van personen zonder handicap.</w:t>
      </w:r>
    </w:p>
    <w:p w14:paraId="345680C7" w14:textId="0B78F9B1" w:rsidR="00B5715C" w:rsidRPr="00655D12" w:rsidRDefault="00B5715C" w:rsidP="00B5715C">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xml:space="preserve"> </w:t>
      </w:r>
    </w:p>
    <w:p w14:paraId="5AA3443E" w14:textId="77777777" w:rsidR="00BC76F6" w:rsidRPr="00655D12" w:rsidRDefault="00B5715C" w:rsidP="00B5715C">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psychiatrische gevangenissen: stand van zaken</w:t>
      </w:r>
      <w:r w:rsidR="00BC76F6" w:rsidRPr="00655D12">
        <w:rPr>
          <w:rFonts w:ascii="Verdana" w:eastAsia="Verdana" w:hAnsi="Verdana" w:cs="Verdana"/>
          <w:sz w:val="22"/>
          <w:szCs w:val="22"/>
          <w:lang w:val="nl-BE"/>
        </w:rPr>
        <w:t>?</w:t>
      </w:r>
      <w:r w:rsidRPr="00655D12">
        <w:rPr>
          <w:rFonts w:ascii="Verdana" w:eastAsia="Verdana" w:hAnsi="Verdana" w:cs="Verdana"/>
          <w:sz w:val="22"/>
          <w:szCs w:val="22"/>
          <w:lang w:val="nl-BE"/>
        </w:rPr>
        <w:t xml:space="preserve"> </w:t>
      </w:r>
    </w:p>
    <w:p w14:paraId="4B6C2039" w14:textId="77777777" w:rsidR="00BC76F6" w:rsidRPr="00655D12" w:rsidRDefault="00BC76F6" w:rsidP="00B5715C">
      <w:pPr>
        <w:spacing w:after="0" w:line="240" w:lineRule="auto"/>
        <w:rPr>
          <w:rFonts w:ascii="Verdana" w:eastAsia="Verdana" w:hAnsi="Verdana" w:cs="Verdana"/>
          <w:sz w:val="22"/>
          <w:szCs w:val="22"/>
          <w:lang w:val="nl-BE"/>
        </w:rPr>
      </w:pPr>
    </w:p>
    <w:p w14:paraId="1AC5C24C" w14:textId="400D55D9" w:rsidR="00B5715C" w:rsidRPr="00655D12" w:rsidRDefault="00B5715C" w:rsidP="00BC76F6">
      <w:pPr>
        <w:pStyle w:val="Lijstalinea"/>
        <w:numPr>
          <w:ilvl w:val="0"/>
          <w:numId w:val="11"/>
        </w:numPr>
        <w:spacing w:after="0" w:line="240" w:lineRule="auto"/>
        <w:rPr>
          <w:rFonts w:ascii="Verdana" w:eastAsia="Verdana" w:hAnsi="Verdana" w:cs="Verdana"/>
          <w:b/>
          <w:bCs/>
          <w:sz w:val="22"/>
          <w:szCs w:val="22"/>
          <w:lang w:val="nl-BE"/>
        </w:rPr>
      </w:pPr>
      <w:r w:rsidRPr="00655D12">
        <w:rPr>
          <w:rFonts w:ascii="Verdana" w:eastAsia="Verdana" w:hAnsi="Verdana" w:cs="Verdana"/>
          <w:b/>
          <w:bCs/>
          <w:sz w:val="22"/>
          <w:szCs w:val="22"/>
          <w:lang w:val="nl-BE"/>
        </w:rPr>
        <w:t>Ondersteuning handicap: gebarentaal, tolken…</w:t>
      </w:r>
    </w:p>
    <w:p w14:paraId="08E9E028" w14:textId="215B258C" w:rsidR="00BC76F6" w:rsidRPr="00655D12" w:rsidRDefault="00655D12" w:rsidP="00BC76F6">
      <w:pPr>
        <w:pStyle w:val="Lijstalinea"/>
        <w:numPr>
          <w:ilvl w:val="0"/>
          <w:numId w:val="11"/>
        </w:numPr>
        <w:spacing w:after="0" w:line="240" w:lineRule="auto"/>
        <w:rPr>
          <w:rFonts w:ascii="Verdana" w:eastAsia="Verdana" w:hAnsi="Verdana" w:cs="Verdana"/>
          <w:b/>
          <w:bCs/>
          <w:sz w:val="22"/>
          <w:szCs w:val="22"/>
          <w:lang w:val="nl-BE"/>
        </w:rPr>
      </w:pPr>
      <w:r>
        <w:rPr>
          <w:rFonts w:ascii="Verdana" w:eastAsia="Verdana" w:hAnsi="Verdana" w:cs="Verdana"/>
          <w:b/>
          <w:bCs/>
          <w:sz w:val="22"/>
          <w:szCs w:val="22"/>
          <w:lang w:val="nl-BE"/>
        </w:rPr>
        <w:t>Hoe o</w:t>
      </w:r>
      <w:r w:rsidR="00BC76F6" w:rsidRPr="00655D12">
        <w:rPr>
          <w:rFonts w:ascii="Verdana" w:eastAsia="Verdana" w:hAnsi="Verdana" w:cs="Verdana"/>
          <w:b/>
          <w:bCs/>
          <w:sz w:val="22"/>
          <w:szCs w:val="22"/>
          <w:lang w:val="nl-BE"/>
        </w:rPr>
        <w:t>verbevolking</w:t>
      </w:r>
      <w:r>
        <w:rPr>
          <w:rFonts w:ascii="Verdana" w:eastAsia="Verdana" w:hAnsi="Verdana" w:cs="Verdana"/>
          <w:b/>
          <w:bCs/>
          <w:sz w:val="22"/>
          <w:szCs w:val="22"/>
          <w:lang w:val="nl-BE"/>
        </w:rPr>
        <w:t xml:space="preserve"> bestrijden zodat elke PMH de zorg krijgt die hij verdient?</w:t>
      </w:r>
    </w:p>
    <w:p w14:paraId="1486661B" w14:textId="77777777" w:rsidR="00BC76F6" w:rsidRPr="00655D12" w:rsidRDefault="00BC76F6" w:rsidP="00BC76F6">
      <w:pPr>
        <w:pStyle w:val="Lijstalinea"/>
        <w:spacing w:after="0" w:line="240" w:lineRule="auto"/>
        <w:rPr>
          <w:rFonts w:ascii="Verdana" w:eastAsia="Verdana" w:hAnsi="Verdana" w:cs="Verdana"/>
          <w:sz w:val="22"/>
          <w:szCs w:val="22"/>
          <w:lang w:val="nl-BE"/>
        </w:rPr>
      </w:pPr>
    </w:p>
    <w:p w14:paraId="17B53CF9" w14:textId="77777777" w:rsidR="00BC76F6" w:rsidRPr="00655D12" w:rsidRDefault="00B5715C" w:rsidP="00B5715C">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Gelijkwaardige toegang tot justitie bieden aan personen met een handicap</w:t>
      </w:r>
      <w:r w:rsidR="00BC76F6" w:rsidRPr="00655D12">
        <w:rPr>
          <w:rFonts w:ascii="Verdana" w:eastAsia="Verdana" w:hAnsi="Verdana" w:cs="Verdana"/>
          <w:sz w:val="22"/>
          <w:szCs w:val="22"/>
          <w:lang w:val="nl-BE"/>
        </w:rPr>
        <w:t>.</w:t>
      </w:r>
    </w:p>
    <w:p w14:paraId="1646626E" w14:textId="77777777" w:rsidR="00BC76F6" w:rsidRPr="00655D12" w:rsidRDefault="00BC76F6" w:rsidP="00B5715C">
      <w:pPr>
        <w:spacing w:after="0" w:line="240" w:lineRule="auto"/>
        <w:rPr>
          <w:rFonts w:ascii="Verdana" w:eastAsia="Verdana" w:hAnsi="Verdana" w:cs="Verdana"/>
          <w:sz w:val="22"/>
          <w:szCs w:val="22"/>
          <w:lang w:val="nl-BE"/>
        </w:rPr>
      </w:pPr>
    </w:p>
    <w:p w14:paraId="3A61179D" w14:textId="1C66536A" w:rsidR="00B5715C" w:rsidRPr="00AF14B0" w:rsidRDefault="00BC76F6" w:rsidP="00BC76F6">
      <w:pPr>
        <w:pStyle w:val="Lijstalinea"/>
        <w:numPr>
          <w:ilvl w:val="0"/>
          <w:numId w:val="12"/>
        </w:numPr>
        <w:spacing w:after="0" w:line="240" w:lineRule="auto"/>
        <w:rPr>
          <w:rFonts w:ascii="Verdana" w:eastAsia="Verdana" w:hAnsi="Verdana" w:cs="Verdana"/>
          <w:b/>
          <w:bCs/>
          <w:sz w:val="22"/>
          <w:szCs w:val="22"/>
          <w:lang w:val="nl-BE"/>
        </w:rPr>
      </w:pPr>
      <w:r w:rsidRPr="00AF14B0">
        <w:rPr>
          <w:rFonts w:ascii="Verdana" w:eastAsia="Verdana" w:hAnsi="Verdana" w:cs="Verdana"/>
          <w:b/>
          <w:bCs/>
          <w:sz w:val="22"/>
          <w:szCs w:val="22"/>
          <w:lang w:val="nl-BE"/>
        </w:rPr>
        <w:t>R</w:t>
      </w:r>
      <w:r w:rsidR="00B5715C" w:rsidRPr="00AF14B0">
        <w:rPr>
          <w:rFonts w:ascii="Verdana" w:eastAsia="Verdana" w:hAnsi="Verdana" w:cs="Verdana"/>
          <w:b/>
          <w:bCs/>
          <w:sz w:val="22"/>
          <w:szCs w:val="22"/>
          <w:lang w:val="nl-BE"/>
        </w:rPr>
        <w:t xml:space="preserve">edelijke aanpassingen voorzien alsook versterking van de functie van vrederechter zodat een bescherming op maat van de persoon met een handicap kan worden opgesteld.  </w:t>
      </w:r>
    </w:p>
    <w:p w14:paraId="791256F5" w14:textId="61F67A5E" w:rsidR="00655D12" w:rsidRPr="00655D12" w:rsidRDefault="00655D12" w:rsidP="00655D12">
      <w:pPr>
        <w:pStyle w:val="Lijstalinea"/>
        <w:numPr>
          <w:ilvl w:val="0"/>
          <w:numId w:val="12"/>
        </w:numPr>
        <w:spacing w:after="0" w:line="240" w:lineRule="auto"/>
        <w:rPr>
          <w:rFonts w:ascii="Verdana" w:eastAsia="Verdana" w:hAnsi="Verdana" w:cs="Verdana"/>
          <w:sz w:val="22"/>
          <w:szCs w:val="22"/>
          <w:lang w:val="fr-BE"/>
        </w:rPr>
      </w:pPr>
      <w:r w:rsidRPr="00655D12">
        <w:rPr>
          <w:rFonts w:ascii="Verdana" w:eastAsia="Verdana" w:hAnsi="Verdana" w:cs="Verdana"/>
          <w:sz w:val="22"/>
          <w:szCs w:val="22"/>
          <w:lang w:val="fr-BE"/>
        </w:rPr>
        <w:t xml:space="preserve">Rapport VN-Comité </w:t>
      </w:r>
      <w:proofErr w:type="spellStart"/>
      <w:r w:rsidRPr="00655D12">
        <w:rPr>
          <w:rFonts w:ascii="Verdana" w:eastAsia="Verdana" w:hAnsi="Verdana" w:cs="Verdana"/>
          <w:sz w:val="22"/>
          <w:szCs w:val="22"/>
          <w:lang w:val="fr-BE"/>
        </w:rPr>
        <w:t>aan</w:t>
      </w:r>
      <w:proofErr w:type="spellEnd"/>
      <w:r w:rsidRPr="00655D12">
        <w:rPr>
          <w:rFonts w:ascii="Verdana" w:eastAsia="Verdana" w:hAnsi="Verdana" w:cs="Verdana"/>
          <w:sz w:val="22"/>
          <w:szCs w:val="22"/>
          <w:lang w:val="fr-BE"/>
        </w:rPr>
        <w:t xml:space="preserve"> </w:t>
      </w:r>
      <w:proofErr w:type="spellStart"/>
      <w:r w:rsidRPr="00655D12">
        <w:rPr>
          <w:rFonts w:ascii="Verdana" w:eastAsia="Verdana" w:hAnsi="Verdana" w:cs="Verdana"/>
          <w:sz w:val="22"/>
          <w:szCs w:val="22"/>
          <w:lang w:val="fr-BE"/>
        </w:rPr>
        <w:t>België</w:t>
      </w:r>
      <w:proofErr w:type="spellEnd"/>
      <w:r w:rsidRPr="00655D12">
        <w:rPr>
          <w:rFonts w:ascii="Verdana" w:eastAsia="Verdana" w:hAnsi="Verdana" w:cs="Verdana"/>
          <w:sz w:val="22"/>
          <w:szCs w:val="22"/>
          <w:lang w:val="fr-BE"/>
        </w:rPr>
        <w:t>. 26. Le Comité constate avec préoccupation</w:t>
      </w:r>
      <w:r w:rsidRPr="00655D12">
        <w:rPr>
          <w:rFonts w:ascii="Verdana" w:eastAsia="Verdana" w:hAnsi="Verdana" w:cs="Verdana"/>
          <w:sz w:val="22"/>
          <w:szCs w:val="22"/>
          <w:lang w:val="fr-BE"/>
        </w:rPr>
        <w:t> :</w:t>
      </w:r>
    </w:p>
    <w:p w14:paraId="4F9EF1FC" w14:textId="77777777" w:rsidR="00655D12" w:rsidRPr="00655D12" w:rsidRDefault="00655D12" w:rsidP="00655D12">
      <w:pPr>
        <w:pStyle w:val="Lijstalinea"/>
        <w:spacing w:after="0" w:line="240" w:lineRule="auto"/>
        <w:rPr>
          <w:rFonts w:ascii="Verdana" w:eastAsia="Verdana" w:hAnsi="Verdana" w:cs="Verdana"/>
          <w:sz w:val="22"/>
          <w:szCs w:val="22"/>
          <w:lang w:val="fr-BE"/>
        </w:rPr>
      </w:pPr>
    </w:p>
    <w:p w14:paraId="1FB6297D" w14:textId="77777777"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 xml:space="preserve">a) Que les aménagements procéduraux qui permettraient aux personnes handicapées de participer effectivement à toutes les procédures judiciaires, compte tenu de leur âge, de leur handicap et de leur genre, sont insuffisants ; b) Que les personnes sourdes ou malentendantes n’ont pas, en droit, la garantie de bénéficier gratuitement des services d’un interprète en langue des signes dans toutes les procédures légales ;  </w:t>
      </w:r>
    </w:p>
    <w:p w14:paraId="2A626B31" w14:textId="77777777" w:rsidR="00655D12" w:rsidRPr="00655D12" w:rsidRDefault="00655D12" w:rsidP="00655D12">
      <w:pPr>
        <w:spacing w:after="0" w:line="240" w:lineRule="auto"/>
        <w:ind w:left="1440"/>
        <w:rPr>
          <w:rFonts w:ascii="Verdana" w:eastAsia="Verdana" w:hAnsi="Verdana" w:cs="Verdana"/>
          <w:sz w:val="22"/>
          <w:szCs w:val="22"/>
          <w:lang w:val="fr-BE"/>
        </w:rPr>
      </w:pPr>
    </w:p>
    <w:p w14:paraId="1CB6F4EB" w14:textId="77777777"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 xml:space="preserve">c) Que les personnes handicapées ne bénéficient plus automatiquement de l’aide juridictionnelle gratuite ;  </w:t>
      </w:r>
    </w:p>
    <w:p w14:paraId="31DEA51A" w14:textId="77777777" w:rsidR="00655D12" w:rsidRPr="00655D12" w:rsidRDefault="00655D12" w:rsidP="00655D12">
      <w:pPr>
        <w:spacing w:after="0" w:line="240" w:lineRule="auto"/>
        <w:ind w:left="1440"/>
        <w:rPr>
          <w:rFonts w:ascii="Verdana" w:eastAsia="Verdana" w:hAnsi="Verdana" w:cs="Verdana"/>
          <w:sz w:val="22"/>
          <w:szCs w:val="22"/>
          <w:lang w:val="fr-BE"/>
        </w:rPr>
      </w:pPr>
    </w:p>
    <w:p w14:paraId="4E8D100F" w14:textId="4570A618"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d) Que le personnel judiciaire, notamment les juges, les greffiers et les magistrats, est souvent mal formé aux besoins individuels des personnes handicapées</w:t>
      </w:r>
    </w:p>
    <w:p w14:paraId="7905CD8F" w14:textId="77777777" w:rsidR="00BC76F6" w:rsidRPr="00655D12" w:rsidRDefault="00BC76F6" w:rsidP="00BC76F6">
      <w:pPr>
        <w:pStyle w:val="Lijstalinea"/>
        <w:spacing w:after="0" w:line="240" w:lineRule="auto"/>
        <w:rPr>
          <w:rFonts w:ascii="Verdana" w:eastAsia="Verdana" w:hAnsi="Verdana" w:cs="Verdana"/>
          <w:sz w:val="22"/>
          <w:szCs w:val="22"/>
          <w:lang w:val="fr-BE"/>
        </w:rPr>
      </w:pPr>
    </w:p>
    <w:p w14:paraId="39D3B3A2" w14:textId="77777777" w:rsidR="00B5715C" w:rsidRPr="00655D12" w:rsidRDefault="00B5715C" w:rsidP="00B5715C">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lastRenderedPageBreak/>
        <w:t>- De Belgische wetgeving stroomlijnen met de aanbevelingen van het UNCRPD en elke nieuwe wetgeving toetsen op handicap.</w:t>
      </w:r>
    </w:p>
    <w:p w14:paraId="51DB6B6B" w14:textId="77777777" w:rsidR="00BC76F6" w:rsidRPr="00655D12" w:rsidRDefault="00BC76F6" w:rsidP="00B5715C">
      <w:pPr>
        <w:spacing w:after="0" w:line="240" w:lineRule="auto"/>
        <w:rPr>
          <w:rFonts w:ascii="Verdana" w:eastAsia="Verdana" w:hAnsi="Verdana" w:cs="Verdana"/>
          <w:sz w:val="22"/>
          <w:szCs w:val="22"/>
          <w:lang w:val="nl-BE"/>
        </w:rPr>
      </w:pPr>
    </w:p>
    <w:p w14:paraId="55AEFDD7" w14:textId="0480BD78" w:rsidR="00BC76F6" w:rsidRPr="00AF14B0" w:rsidRDefault="00BC76F6" w:rsidP="00BC76F6">
      <w:pPr>
        <w:pStyle w:val="Lijstalinea"/>
        <w:numPr>
          <w:ilvl w:val="0"/>
          <w:numId w:val="12"/>
        </w:numPr>
        <w:spacing w:after="0" w:line="240" w:lineRule="auto"/>
        <w:rPr>
          <w:rFonts w:ascii="Verdana" w:eastAsia="Verdana" w:hAnsi="Verdana" w:cs="Verdana"/>
          <w:b/>
          <w:bCs/>
          <w:sz w:val="22"/>
          <w:szCs w:val="22"/>
          <w:lang w:val="nl-BE"/>
        </w:rPr>
      </w:pPr>
      <w:r w:rsidRPr="00AF14B0">
        <w:rPr>
          <w:rFonts w:ascii="Verdana" w:eastAsia="Verdana" w:hAnsi="Verdana" w:cs="Verdana"/>
          <w:b/>
          <w:bCs/>
          <w:sz w:val="22"/>
          <w:szCs w:val="22"/>
          <w:lang w:val="nl-BE"/>
        </w:rPr>
        <w:t>Bijstand in plaats van vertegenwoordiging.</w:t>
      </w:r>
    </w:p>
    <w:p w14:paraId="1CB5263A" w14:textId="77777777" w:rsidR="00BC76F6" w:rsidRPr="00655D12" w:rsidRDefault="00BC76F6" w:rsidP="00BC76F6">
      <w:pPr>
        <w:spacing w:after="0" w:line="240" w:lineRule="auto"/>
        <w:rPr>
          <w:rFonts w:ascii="Verdana" w:eastAsia="Verdana" w:hAnsi="Verdana" w:cs="Verdana"/>
          <w:sz w:val="22"/>
          <w:szCs w:val="22"/>
          <w:lang w:val="nl-BE"/>
        </w:rPr>
      </w:pPr>
    </w:p>
    <w:p w14:paraId="6A3E5C6A" w14:textId="7D965E6F" w:rsidR="00BC76F6" w:rsidRPr="00655D12" w:rsidRDefault="00BC76F6" w:rsidP="00BC76F6">
      <w:pPr>
        <w:spacing w:after="0" w:line="240" w:lineRule="auto"/>
        <w:rPr>
          <w:rFonts w:ascii="Verdana" w:eastAsia="Verdana" w:hAnsi="Verdana" w:cs="Verdana"/>
          <w:sz w:val="22"/>
          <w:szCs w:val="22"/>
          <w:lang w:val="nl-BE"/>
        </w:rPr>
      </w:pPr>
      <w:r w:rsidRPr="00655D12">
        <w:rPr>
          <w:rFonts w:ascii="Verdana" w:eastAsia="Verdana" w:hAnsi="Verdana" w:cs="Verdana"/>
          <w:sz w:val="22"/>
          <w:szCs w:val="22"/>
          <w:lang w:val="nl-BE"/>
        </w:rPr>
        <w:t xml:space="preserve">- </w:t>
      </w:r>
      <w:r w:rsidRPr="00655D12">
        <w:rPr>
          <w:rFonts w:ascii="Verdana" w:eastAsia="Verdana" w:hAnsi="Verdana" w:cs="Verdana"/>
          <w:sz w:val="22"/>
          <w:szCs w:val="22"/>
          <w:lang w:val="nl-BE"/>
        </w:rPr>
        <w:t>Statuut mantelzorgers, zie onze positienota: https://ph.belgium.be/resource/static/files/Notes%20de%20position/2015-09-positienota-mantelzorg.pdf</w:t>
      </w:r>
    </w:p>
    <w:p w14:paraId="06673B24" w14:textId="77777777" w:rsidR="00BC76F6" w:rsidRPr="00655D12" w:rsidRDefault="00BC76F6" w:rsidP="00BC76F6">
      <w:pPr>
        <w:pStyle w:val="Lijstalinea"/>
        <w:spacing w:after="0" w:line="240" w:lineRule="auto"/>
        <w:rPr>
          <w:rFonts w:ascii="Verdana" w:eastAsia="Verdana" w:hAnsi="Verdana" w:cs="Verdana"/>
          <w:sz w:val="22"/>
          <w:szCs w:val="22"/>
          <w:lang w:val="nl-BE"/>
        </w:rPr>
      </w:pPr>
    </w:p>
    <w:p w14:paraId="6EAD1ABE" w14:textId="099F2047" w:rsidR="00B5715C" w:rsidRPr="00655D12" w:rsidRDefault="00B5715C" w:rsidP="00B5715C">
      <w:pPr>
        <w:tabs>
          <w:tab w:val="left" w:pos="1320"/>
        </w:tabs>
        <w:rPr>
          <w:rFonts w:ascii="Verdana" w:eastAsia="Verdana" w:hAnsi="Verdana" w:cs="Verdana"/>
          <w:sz w:val="22"/>
          <w:szCs w:val="22"/>
          <w:lang w:val="nl-BE"/>
        </w:rPr>
      </w:pPr>
      <w:r w:rsidRPr="00655D12">
        <w:rPr>
          <w:rFonts w:ascii="Verdana" w:eastAsia="Verdana" w:hAnsi="Verdana" w:cs="Verdana"/>
          <w:sz w:val="22"/>
          <w:szCs w:val="22"/>
          <w:lang w:val="nl-BE"/>
        </w:rPr>
        <w:t>- Het formalisme van notariële akten herzien: sommige bepalingen uit 1803 leiden tot discriminerende situaties voor bepaalde categorieën van personen met een handicap.</w:t>
      </w:r>
    </w:p>
    <w:p w14:paraId="3FA12D9B" w14:textId="056AC582" w:rsidR="00B5715C" w:rsidRPr="00655D12" w:rsidRDefault="00655D12" w:rsidP="00B5715C">
      <w:pPr>
        <w:tabs>
          <w:tab w:val="left" w:pos="1320"/>
        </w:tabs>
        <w:rPr>
          <w:rFonts w:ascii="Verdana" w:hAnsi="Verdana"/>
          <w:sz w:val="22"/>
          <w:szCs w:val="22"/>
          <w:lang w:val="nl-BE"/>
        </w:rPr>
      </w:pPr>
      <w:r w:rsidRPr="00655D12">
        <w:rPr>
          <w:rFonts w:ascii="Verdana" w:hAnsi="Verdana"/>
          <w:sz w:val="22"/>
          <w:szCs w:val="22"/>
          <w:lang w:val="nl-BE"/>
        </w:rPr>
        <w:t xml:space="preserve">- </w:t>
      </w:r>
      <w:r w:rsidRPr="00655D12">
        <w:rPr>
          <w:rFonts w:ascii="Verdana" w:hAnsi="Verdana"/>
          <w:sz w:val="22"/>
          <w:szCs w:val="22"/>
          <w:lang w:val="nl-BE"/>
        </w:rPr>
        <w:t>Garanderen dat persoonlijke gezondheids- en revalidatiegegevens worden beschermd tegen elk ander gebruik dan waarvoor ze zijn verzameld.</w:t>
      </w:r>
    </w:p>
    <w:p w14:paraId="55F24C20" w14:textId="391D17AD" w:rsidR="00655D12" w:rsidRPr="00655D12" w:rsidRDefault="00655D12" w:rsidP="00655D12">
      <w:pPr>
        <w:tabs>
          <w:tab w:val="left" w:pos="1320"/>
        </w:tabs>
        <w:rPr>
          <w:rFonts w:ascii="Verdana" w:hAnsi="Verdana"/>
          <w:sz w:val="22"/>
          <w:szCs w:val="22"/>
          <w:lang w:val="nl-BE"/>
        </w:rPr>
      </w:pPr>
      <w:r w:rsidRPr="00655D12">
        <w:rPr>
          <w:rFonts w:ascii="Verdana" w:hAnsi="Verdana"/>
          <w:sz w:val="22"/>
          <w:szCs w:val="22"/>
          <w:lang w:val="nl-BE"/>
        </w:rPr>
        <w:t xml:space="preserve">- </w:t>
      </w:r>
      <w:r w:rsidRPr="00655D12">
        <w:rPr>
          <w:rFonts w:ascii="Verdana" w:hAnsi="Verdana"/>
          <w:sz w:val="22"/>
          <w:szCs w:val="22"/>
          <w:lang w:val="nl-BE"/>
        </w:rPr>
        <w:t>Artikel 100, § 1 van de wet betreffende de verplichte verzekering voor geneeskundige verzorging en uitkeringen gecoördineerd op 14 juli 1994.</w:t>
      </w:r>
      <w:r w:rsidRPr="00655D12">
        <w:rPr>
          <w:rFonts w:ascii="Verdana" w:hAnsi="Verdana"/>
          <w:sz w:val="22"/>
          <w:szCs w:val="22"/>
          <w:lang w:val="nl-BE"/>
        </w:rPr>
        <w:t xml:space="preserve"> </w:t>
      </w:r>
      <w:r w:rsidRPr="00655D12">
        <w:rPr>
          <w:rFonts w:ascii="Verdana" w:hAnsi="Verdana"/>
          <w:sz w:val="22"/>
          <w:szCs w:val="22"/>
          <w:lang w:val="nl-BE"/>
        </w:rPr>
        <w:t>Met andere woorden, alleen die sociaal verzekerden kunnen arbeidsongeschikt worden erkend die op het moment van hun intrede op de arbeidsmarkt beschikten over een voldoende graad van verdienvermogen en die het slachtoffer zijn van een nieuwe aandoening – of een verergering van een bestaande aandoening – waarvan de letsels of functionele stoornissen hun verdienvermogen ernstig hebben verminderd (tot een derde of minder dan een derde) waardoor zij hun werkzaamheid hebben moeten stoppen.</w:t>
      </w:r>
    </w:p>
    <w:sectPr w:rsidR="00655D12" w:rsidRPr="00655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5B7E6B02"/>
    <w:lvl w:ilvl="0" w:tplc="B5FC3C42">
      <w:start w:val="1"/>
      <w:numFmt w:val="bullet"/>
      <w:lvlText w:val="-"/>
      <w:lvlJc w:val="left"/>
      <w:pPr>
        <w:ind w:left="720" w:hanging="360"/>
      </w:pPr>
      <w:rPr>
        <w:rFonts w:ascii="Aptos" w:hAnsi="Aptos" w:hint="default"/>
      </w:rPr>
    </w:lvl>
    <w:lvl w:ilvl="1" w:tplc="2196B818">
      <w:start w:val="1"/>
      <w:numFmt w:val="bullet"/>
      <w:lvlText w:val="o"/>
      <w:lvlJc w:val="left"/>
      <w:pPr>
        <w:ind w:left="1440" w:hanging="360"/>
      </w:pPr>
      <w:rPr>
        <w:rFonts w:ascii="Courier New" w:hAnsi="Courier New" w:hint="default"/>
      </w:rPr>
    </w:lvl>
    <w:lvl w:ilvl="2" w:tplc="DE120244">
      <w:start w:val="1"/>
      <w:numFmt w:val="bullet"/>
      <w:lvlText w:val=""/>
      <w:lvlJc w:val="left"/>
      <w:pPr>
        <w:ind w:left="2160" w:hanging="360"/>
      </w:pPr>
      <w:rPr>
        <w:rFonts w:ascii="Wingdings" w:hAnsi="Wingdings" w:hint="default"/>
      </w:rPr>
    </w:lvl>
    <w:lvl w:ilvl="3" w:tplc="5C1894E0">
      <w:start w:val="1"/>
      <w:numFmt w:val="bullet"/>
      <w:lvlText w:val=""/>
      <w:lvlJc w:val="left"/>
      <w:pPr>
        <w:ind w:left="2880" w:hanging="360"/>
      </w:pPr>
      <w:rPr>
        <w:rFonts w:ascii="Symbol" w:hAnsi="Symbol" w:hint="default"/>
      </w:rPr>
    </w:lvl>
    <w:lvl w:ilvl="4" w:tplc="FF32D46E">
      <w:start w:val="1"/>
      <w:numFmt w:val="bullet"/>
      <w:lvlText w:val="o"/>
      <w:lvlJc w:val="left"/>
      <w:pPr>
        <w:ind w:left="3600" w:hanging="360"/>
      </w:pPr>
      <w:rPr>
        <w:rFonts w:ascii="Courier New" w:hAnsi="Courier New" w:hint="default"/>
      </w:rPr>
    </w:lvl>
    <w:lvl w:ilvl="5" w:tplc="FC6C5002">
      <w:start w:val="1"/>
      <w:numFmt w:val="bullet"/>
      <w:lvlText w:val=""/>
      <w:lvlJc w:val="left"/>
      <w:pPr>
        <w:ind w:left="4320" w:hanging="360"/>
      </w:pPr>
      <w:rPr>
        <w:rFonts w:ascii="Wingdings" w:hAnsi="Wingdings" w:hint="default"/>
      </w:rPr>
    </w:lvl>
    <w:lvl w:ilvl="6" w:tplc="C62C06AA">
      <w:start w:val="1"/>
      <w:numFmt w:val="bullet"/>
      <w:lvlText w:val=""/>
      <w:lvlJc w:val="left"/>
      <w:pPr>
        <w:ind w:left="5040" w:hanging="360"/>
      </w:pPr>
      <w:rPr>
        <w:rFonts w:ascii="Symbol" w:hAnsi="Symbol" w:hint="default"/>
      </w:rPr>
    </w:lvl>
    <w:lvl w:ilvl="7" w:tplc="1318EAAC">
      <w:start w:val="1"/>
      <w:numFmt w:val="bullet"/>
      <w:lvlText w:val="o"/>
      <w:lvlJc w:val="left"/>
      <w:pPr>
        <w:ind w:left="5760" w:hanging="360"/>
      </w:pPr>
      <w:rPr>
        <w:rFonts w:ascii="Courier New" w:hAnsi="Courier New" w:hint="default"/>
      </w:rPr>
    </w:lvl>
    <w:lvl w:ilvl="8" w:tplc="5DDACF9C">
      <w:start w:val="1"/>
      <w:numFmt w:val="bullet"/>
      <w:lvlText w:val=""/>
      <w:lvlJc w:val="left"/>
      <w:pPr>
        <w:ind w:left="6480" w:hanging="360"/>
      </w:pPr>
      <w:rPr>
        <w:rFonts w:ascii="Wingdings" w:hAnsi="Wingdings" w:hint="default"/>
      </w:rPr>
    </w:lvl>
  </w:abstractNum>
  <w:abstractNum w:abstractNumId="1" w15:restartNumberingAfterBreak="0">
    <w:nsid w:val="09AF3210"/>
    <w:multiLevelType w:val="hybridMultilevel"/>
    <w:tmpl w:val="AADAE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824620"/>
    <w:multiLevelType w:val="hybridMultilevel"/>
    <w:tmpl w:val="D07A8818"/>
    <w:lvl w:ilvl="0" w:tplc="C35C4216">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6D06"/>
    <w:multiLevelType w:val="hybridMultilevel"/>
    <w:tmpl w:val="87B8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FB653A"/>
    <w:multiLevelType w:val="hybridMultilevel"/>
    <w:tmpl w:val="32241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26DDA"/>
    <w:multiLevelType w:val="hybridMultilevel"/>
    <w:tmpl w:val="C7D83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76E80"/>
    <w:multiLevelType w:val="hybridMultilevel"/>
    <w:tmpl w:val="C2246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F454FF"/>
    <w:multiLevelType w:val="hybridMultilevel"/>
    <w:tmpl w:val="CD4E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F2C01"/>
    <w:multiLevelType w:val="hybridMultilevel"/>
    <w:tmpl w:val="7EA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5D8A"/>
    <w:multiLevelType w:val="hybridMultilevel"/>
    <w:tmpl w:val="88B4FE0A"/>
    <w:lvl w:ilvl="0" w:tplc="A2541C9A">
      <w:start w:val="5"/>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66B39"/>
    <w:multiLevelType w:val="hybridMultilevel"/>
    <w:tmpl w:val="886CFCEA"/>
    <w:lvl w:ilvl="0" w:tplc="21D09EDA">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90FCF"/>
    <w:multiLevelType w:val="hybridMultilevel"/>
    <w:tmpl w:val="FAD6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11D1"/>
    <w:multiLevelType w:val="hybridMultilevel"/>
    <w:tmpl w:val="52F8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A3644"/>
    <w:multiLevelType w:val="hybridMultilevel"/>
    <w:tmpl w:val="5CFC8D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56013CE">
      <w:start w:val="3"/>
      <w:numFmt w:val="bullet"/>
      <w:lvlText w:val=""/>
      <w:lvlJc w:val="left"/>
      <w:pPr>
        <w:ind w:left="4320" w:hanging="360"/>
      </w:pPr>
      <w:rPr>
        <w:rFonts w:ascii="Wingdings" w:eastAsiaTheme="minorHAnsi" w:hAnsi="Wingdings" w:cstheme="minorBid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F24290"/>
    <w:multiLevelType w:val="hybridMultilevel"/>
    <w:tmpl w:val="E69234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77643">
    <w:abstractNumId w:val="14"/>
  </w:num>
  <w:num w:numId="2" w16cid:durableId="1603029725">
    <w:abstractNumId w:val="9"/>
  </w:num>
  <w:num w:numId="3" w16cid:durableId="1356496186">
    <w:abstractNumId w:val="7"/>
  </w:num>
  <w:num w:numId="4" w16cid:durableId="262037883">
    <w:abstractNumId w:val="13"/>
  </w:num>
  <w:num w:numId="5" w16cid:durableId="816535479">
    <w:abstractNumId w:val="8"/>
  </w:num>
  <w:num w:numId="6" w16cid:durableId="1544444696">
    <w:abstractNumId w:val="11"/>
  </w:num>
  <w:num w:numId="7" w16cid:durableId="1980451271">
    <w:abstractNumId w:val="0"/>
  </w:num>
  <w:num w:numId="8" w16cid:durableId="541869665">
    <w:abstractNumId w:val="3"/>
  </w:num>
  <w:num w:numId="9" w16cid:durableId="184561102">
    <w:abstractNumId w:val="12"/>
  </w:num>
  <w:num w:numId="10" w16cid:durableId="658071876">
    <w:abstractNumId w:val="6"/>
  </w:num>
  <w:num w:numId="11" w16cid:durableId="1542282227">
    <w:abstractNumId w:val="4"/>
  </w:num>
  <w:num w:numId="12" w16cid:durableId="1343780239">
    <w:abstractNumId w:val="5"/>
  </w:num>
  <w:num w:numId="13" w16cid:durableId="1785492357">
    <w:abstractNumId w:val="1"/>
  </w:num>
  <w:num w:numId="14" w16cid:durableId="749540225">
    <w:abstractNumId w:val="2"/>
  </w:num>
  <w:num w:numId="15" w16cid:durableId="1774860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C4"/>
    <w:rsid w:val="00007581"/>
    <w:rsid w:val="000A7923"/>
    <w:rsid w:val="00142348"/>
    <w:rsid w:val="00161970"/>
    <w:rsid w:val="001D0374"/>
    <w:rsid w:val="001D134C"/>
    <w:rsid w:val="00200159"/>
    <w:rsid w:val="00224068"/>
    <w:rsid w:val="002601DA"/>
    <w:rsid w:val="00337A50"/>
    <w:rsid w:val="00346910"/>
    <w:rsid w:val="0035401A"/>
    <w:rsid w:val="0036474D"/>
    <w:rsid w:val="00384BEA"/>
    <w:rsid w:val="003A6536"/>
    <w:rsid w:val="003B0F1E"/>
    <w:rsid w:val="003F200C"/>
    <w:rsid w:val="004E68B6"/>
    <w:rsid w:val="005166B6"/>
    <w:rsid w:val="0052395E"/>
    <w:rsid w:val="00531B4E"/>
    <w:rsid w:val="00544C55"/>
    <w:rsid w:val="00557995"/>
    <w:rsid w:val="005A0145"/>
    <w:rsid w:val="005A6689"/>
    <w:rsid w:val="005B42D1"/>
    <w:rsid w:val="005CD16B"/>
    <w:rsid w:val="0060420A"/>
    <w:rsid w:val="006449A8"/>
    <w:rsid w:val="00655D12"/>
    <w:rsid w:val="00685674"/>
    <w:rsid w:val="006B4930"/>
    <w:rsid w:val="006F19A7"/>
    <w:rsid w:val="006F2D42"/>
    <w:rsid w:val="00791681"/>
    <w:rsid w:val="007973F5"/>
    <w:rsid w:val="007C1145"/>
    <w:rsid w:val="007E321E"/>
    <w:rsid w:val="00803AAC"/>
    <w:rsid w:val="0085216F"/>
    <w:rsid w:val="008B1898"/>
    <w:rsid w:val="008C5E95"/>
    <w:rsid w:val="008D5E63"/>
    <w:rsid w:val="008E05B2"/>
    <w:rsid w:val="00944B42"/>
    <w:rsid w:val="0095007D"/>
    <w:rsid w:val="009C41F8"/>
    <w:rsid w:val="009F7470"/>
    <w:rsid w:val="00A24521"/>
    <w:rsid w:val="00AE0BED"/>
    <w:rsid w:val="00AF14B0"/>
    <w:rsid w:val="00B17F38"/>
    <w:rsid w:val="00B21138"/>
    <w:rsid w:val="00B4160C"/>
    <w:rsid w:val="00B5715C"/>
    <w:rsid w:val="00B638A6"/>
    <w:rsid w:val="00B67051"/>
    <w:rsid w:val="00BB46B7"/>
    <w:rsid w:val="00BC76F6"/>
    <w:rsid w:val="00BD34C0"/>
    <w:rsid w:val="00BF5D58"/>
    <w:rsid w:val="00C00AE4"/>
    <w:rsid w:val="00CD075B"/>
    <w:rsid w:val="00D55001"/>
    <w:rsid w:val="00D65615"/>
    <w:rsid w:val="00D955C4"/>
    <w:rsid w:val="00DE3D99"/>
    <w:rsid w:val="00DF70E6"/>
    <w:rsid w:val="00E24594"/>
    <w:rsid w:val="00E31397"/>
    <w:rsid w:val="00E51A37"/>
    <w:rsid w:val="00E940EE"/>
    <w:rsid w:val="00EA01C9"/>
    <w:rsid w:val="00EA1D3A"/>
    <w:rsid w:val="00EE7CE5"/>
    <w:rsid w:val="00F27550"/>
    <w:rsid w:val="00F43EEC"/>
    <w:rsid w:val="00F717AB"/>
    <w:rsid w:val="0112C69F"/>
    <w:rsid w:val="0142E12B"/>
    <w:rsid w:val="01BFD33D"/>
    <w:rsid w:val="02850FBD"/>
    <w:rsid w:val="03C930AB"/>
    <w:rsid w:val="0441F3EA"/>
    <w:rsid w:val="04CCCB5D"/>
    <w:rsid w:val="052FD666"/>
    <w:rsid w:val="05897DB3"/>
    <w:rsid w:val="0697B457"/>
    <w:rsid w:val="06FF4280"/>
    <w:rsid w:val="08025AC4"/>
    <w:rsid w:val="086FFC6A"/>
    <w:rsid w:val="087A8C3C"/>
    <w:rsid w:val="08AB9CF5"/>
    <w:rsid w:val="0BAC9F0B"/>
    <w:rsid w:val="0BFAB7C7"/>
    <w:rsid w:val="0C442FFE"/>
    <w:rsid w:val="0C764D6F"/>
    <w:rsid w:val="0DB1A991"/>
    <w:rsid w:val="0E1F747A"/>
    <w:rsid w:val="0F588D91"/>
    <w:rsid w:val="11750E94"/>
    <w:rsid w:val="12402469"/>
    <w:rsid w:val="1267E187"/>
    <w:rsid w:val="146AED28"/>
    <w:rsid w:val="154BC4B1"/>
    <w:rsid w:val="15F7D1FE"/>
    <w:rsid w:val="161DEB02"/>
    <w:rsid w:val="17D9C17E"/>
    <w:rsid w:val="18271DD9"/>
    <w:rsid w:val="18A1C332"/>
    <w:rsid w:val="19536F1C"/>
    <w:rsid w:val="198DB7C6"/>
    <w:rsid w:val="1CCB53E5"/>
    <w:rsid w:val="1D5B9EA4"/>
    <w:rsid w:val="1D8DB276"/>
    <w:rsid w:val="1E2ED62C"/>
    <w:rsid w:val="211053D9"/>
    <w:rsid w:val="218DF5B9"/>
    <w:rsid w:val="21D5413B"/>
    <w:rsid w:val="2305B09B"/>
    <w:rsid w:val="2394585D"/>
    <w:rsid w:val="25FDCEA5"/>
    <w:rsid w:val="2618CD1A"/>
    <w:rsid w:val="27A0CC51"/>
    <w:rsid w:val="27E52978"/>
    <w:rsid w:val="29452182"/>
    <w:rsid w:val="2A029E12"/>
    <w:rsid w:val="2A383997"/>
    <w:rsid w:val="2B317720"/>
    <w:rsid w:val="2B652F0A"/>
    <w:rsid w:val="2C25301D"/>
    <w:rsid w:val="2CF4FFA4"/>
    <w:rsid w:val="2D5EC572"/>
    <w:rsid w:val="2D92C852"/>
    <w:rsid w:val="2E281324"/>
    <w:rsid w:val="2EE976C3"/>
    <w:rsid w:val="2F85496F"/>
    <w:rsid w:val="33D28FB0"/>
    <w:rsid w:val="33D7BCB7"/>
    <w:rsid w:val="33F4399B"/>
    <w:rsid w:val="3480D0D1"/>
    <w:rsid w:val="349E092E"/>
    <w:rsid w:val="3518DF1B"/>
    <w:rsid w:val="3544D04A"/>
    <w:rsid w:val="374641FE"/>
    <w:rsid w:val="39033718"/>
    <w:rsid w:val="3B0DEBC8"/>
    <w:rsid w:val="3B96E379"/>
    <w:rsid w:val="3F38D9C4"/>
    <w:rsid w:val="41BB87F7"/>
    <w:rsid w:val="42A1D077"/>
    <w:rsid w:val="42E42B26"/>
    <w:rsid w:val="435C6B5C"/>
    <w:rsid w:val="435F2673"/>
    <w:rsid w:val="45354444"/>
    <w:rsid w:val="454BEFA4"/>
    <w:rsid w:val="455D7FDA"/>
    <w:rsid w:val="465E0520"/>
    <w:rsid w:val="46718899"/>
    <w:rsid w:val="46D30C25"/>
    <w:rsid w:val="47725EBB"/>
    <w:rsid w:val="48D0A6F1"/>
    <w:rsid w:val="4A301251"/>
    <w:rsid w:val="4B2660A1"/>
    <w:rsid w:val="4BB8606E"/>
    <w:rsid w:val="4BBD8632"/>
    <w:rsid w:val="4D00F1C3"/>
    <w:rsid w:val="4E584FC0"/>
    <w:rsid w:val="4F0AD4AC"/>
    <w:rsid w:val="4FD97D97"/>
    <w:rsid w:val="506D722A"/>
    <w:rsid w:val="50B53318"/>
    <w:rsid w:val="50C30558"/>
    <w:rsid w:val="51151FB4"/>
    <w:rsid w:val="529BFE28"/>
    <w:rsid w:val="5329E7B1"/>
    <w:rsid w:val="53F4072D"/>
    <w:rsid w:val="54ED7D72"/>
    <w:rsid w:val="5584BD5E"/>
    <w:rsid w:val="56432A33"/>
    <w:rsid w:val="59115A7E"/>
    <w:rsid w:val="59FDAFD2"/>
    <w:rsid w:val="5A7E23E5"/>
    <w:rsid w:val="5AC0EA2D"/>
    <w:rsid w:val="5B6C44E9"/>
    <w:rsid w:val="5B943C97"/>
    <w:rsid w:val="5D03759C"/>
    <w:rsid w:val="5E0DA72E"/>
    <w:rsid w:val="5E699E40"/>
    <w:rsid w:val="5F84C184"/>
    <w:rsid w:val="6046C603"/>
    <w:rsid w:val="617A39BE"/>
    <w:rsid w:val="61B5D0C7"/>
    <w:rsid w:val="64954262"/>
    <w:rsid w:val="65964057"/>
    <w:rsid w:val="665B4623"/>
    <w:rsid w:val="6793F965"/>
    <w:rsid w:val="67C36EE2"/>
    <w:rsid w:val="69DDC17B"/>
    <w:rsid w:val="6A32DC20"/>
    <w:rsid w:val="6A587093"/>
    <w:rsid w:val="6E296A71"/>
    <w:rsid w:val="6F647D07"/>
    <w:rsid w:val="6FF39C27"/>
    <w:rsid w:val="7057A567"/>
    <w:rsid w:val="70A9D2D7"/>
    <w:rsid w:val="716655EF"/>
    <w:rsid w:val="7210BECE"/>
    <w:rsid w:val="72525E2D"/>
    <w:rsid w:val="731F11A7"/>
    <w:rsid w:val="743CA44C"/>
    <w:rsid w:val="74A6BFFC"/>
    <w:rsid w:val="75419C05"/>
    <w:rsid w:val="767DFE5A"/>
    <w:rsid w:val="76857D41"/>
    <w:rsid w:val="769C0EB8"/>
    <w:rsid w:val="778E5B57"/>
    <w:rsid w:val="780149D0"/>
    <w:rsid w:val="78380746"/>
    <w:rsid w:val="792AC630"/>
    <w:rsid w:val="7946C81C"/>
    <w:rsid w:val="798ED94E"/>
    <w:rsid w:val="7A3B7FA0"/>
    <w:rsid w:val="7ADBFC69"/>
    <w:rsid w:val="7BECAD94"/>
    <w:rsid w:val="7C93C68F"/>
    <w:rsid w:val="7CFC18F7"/>
    <w:rsid w:val="7E4AC9CB"/>
    <w:rsid w:val="7E7489BF"/>
    <w:rsid w:val="7F07851F"/>
    <w:rsid w:val="7F5277DC"/>
    <w:rsid w:val="7FEDD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6B6"/>
  <w15:chartTrackingRefBased/>
  <w15:docId w15:val="{2D46BBD3-661D-4C67-88BA-CEFD3DB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5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5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5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5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5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5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5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5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5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5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5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5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5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5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5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5C4"/>
    <w:rPr>
      <w:rFonts w:eastAsiaTheme="majorEastAsia" w:cstheme="majorBidi"/>
      <w:color w:val="272727" w:themeColor="text1" w:themeTint="D8"/>
    </w:rPr>
  </w:style>
  <w:style w:type="paragraph" w:styleId="Titel">
    <w:name w:val="Title"/>
    <w:basedOn w:val="Standaard"/>
    <w:next w:val="Standaard"/>
    <w:link w:val="TitelChar"/>
    <w:uiPriority w:val="10"/>
    <w:qFormat/>
    <w:rsid w:val="00D9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5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5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5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5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5C4"/>
    <w:rPr>
      <w:i/>
      <w:iCs/>
      <w:color w:val="404040" w:themeColor="text1" w:themeTint="BF"/>
    </w:rPr>
  </w:style>
  <w:style w:type="paragraph" w:styleId="Lijstalinea">
    <w:name w:val="List Paragraph"/>
    <w:basedOn w:val="Standaard"/>
    <w:uiPriority w:val="34"/>
    <w:qFormat/>
    <w:rsid w:val="00D955C4"/>
    <w:pPr>
      <w:ind w:left="720"/>
      <w:contextualSpacing/>
    </w:pPr>
  </w:style>
  <w:style w:type="character" w:styleId="Intensievebenadrukking">
    <w:name w:val="Intense Emphasis"/>
    <w:basedOn w:val="Standaardalinea-lettertype"/>
    <w:uiPriority w:val="21"/>
    <w:qFormat/>
    <w:rsid w:val="00D955C4"/>
    <w:rPr>
      <w:i/>
      <w:iCs/>
      <w:color w:val="0F4761" w:themeColor="accent1" w:themeShade="BF"/>
    </w:rPr>
  </w:style>
  <w:style w:type="paragraph" w:styleId="Duidelijkcitaat">
    <w:name w:val="Intense Quote"/>
    <w:basedOn w:val="Standaard"/>
    <w:next w:val="Standaard"/>
    <w:link w:val="DuidelijkcitaatChar"/>
    <w:uiPriority w:val="30"/>
    <w:qFormat/>
    <w:rsid w:val="00D9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5C4"/>
    <w:rPr>
      <w:i/>
      <w:iCs/>
      <w:color w:val="0F4761" w:themeColor="accent1" w:themeShade="BF"/>
    </w:rPr>
  </w:style>
  <w:style w:type="character" w:styleId="Intensieveverwijzing">
    <w:name w:val="Intense Reference"/>
    <w:basedOn w:val="Standaardalinea-lettertype"/>
    <w:uiPriority w:val="32"/>
    <w:qFormat/>
    <w:rsid w:val="00D955C4"/>
    <w:rPr>
      <w:b/>
      <w:bCs/>
      <w:smallCaps/>
      <w:color w:val="0F4761" w:themeColor="accent1" w:themeShade="BF"/>
      <w:spacing w:val="5"/>
    </w:rPr>
  </w:style>
  <w:style w:type="table" w:styleId="Tabelraster">
    <w:name w:val="Table Grid"/>
    <w:basedOn w:val="Standaardtabel"/>
    <w:uiPriority w:val="39"/>
    <w:rsid w:val="0022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D07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Standaardalinea-lettertype"/>
    <w:uiPriority w:val="99"/>
    <w:unhideWhenUsed/>
    <w:rsid w:val="27E52978"/>
    <w:rPr>
      <w:color w:val="467886"/>
      <w:u w:val="single"/>
    </w:rPr>
  </w:style>
  <w:style w:type="paragraph" w:styleId="Revisie">
    <w:name w:val="Revision"/>
    <w:hidden/>
    <w:uiPriority w:val="99"/>
    <w:semiHidden/>
    <w:rsid w:val="005A6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6090">
      <w:bodyDiv w:val="1"/>
      <w:marLeft w:val="0"/>
      <w:marRight w:val="0"/>
      <w:marTop w:val="0"/>
      <w:marBottom w:val="0"/>
      <w:divBdr>
        <w:top w:val="none" w:sz="0" w:space="0" w:color="auto"/>
        <w:left w:val="none" w:sz="0" w:space="0" w:color="auto"/>
        <w:bottom w:val="none" w:sz="0" w:space="0" w:color="auto"/>
        <w:right w:val="none" w:sz="0" w:space="0" w:color="auto"/>
      </w:divBdr>
    </w:div>
    <w:div w:id="775713200">
      <w:bodyDiv w:val="1"/>
      <w:marLeft w:val="0"/>
      <w:marRight w:val="0"/>
      <w:marTop w:val="0"/>
      <w:marBottom w:val="0"/>
      <w:divBdr>
        <w:top w:val="none" w:sz="0" w:space="0" w:color="auto"/>
        <w:left w:val="none" w:sz="0" w:space="0" w:color="auto"/>
        <w:bottom w:val="none" w:sz="0" w:space="0" w:color="auto"/>
        <w:right w:val="none" w:sz="0" w:space="0" w:color="auto"/>
      </w:divBdr>
    </w:div>
    <w:div w:id="954478972">
      <w:bodyDiv w:val="1"/>
      <w:marLeft w:val="0"/>
      <w:marRight w:val="0"/>
      <w:marTop w:val="0"/>
      <w:marBottom w:val="0"/>
      <w:divBdr>
        <w:top w:val="none" w:sz="0" w:space="0" w:color="auto"/>
        <w:left w:val="none" w:sz="0" w:space="0" w:color="auto"/>
        <w:bottom w:val="none" w:sz="0" w:space="0" w:color="auto"/>
        <w:right w:val="none" w:sz="0" w:space="0" w:color="auto"/>
      </w:divBdr>
    </w:div>
    <w:div w:id="1233462533">
      <w:bodyDiv w:val="1"/>
      <w:marLeft w:val="0"/>
      <w:marRight w:val="0"/>
      <w:marTop w:val="0"/>
      <w:marBottom w:val="0"/>
      <w:divBdr>
        <w:top w:val="none" w:sz="0" w:space="0" w:color="auto"/>
        <w:left w:val="none" w:sz="0" w:space="0" w:color="auto"/>
        <w:bottom w:val="none" w:sz="0" w:space="0" w:color="auto"/>
        <w:right w:val="none" w:sz="0" w:space="0" w:color="auto"/>
      </w:divBdr>
    </w:div>
    <w:div w:id="1431852803">
      <w:bodyDiv w:val="1"/>
      <w:marLeft w:val="0"/>
      <w:marRight w:val="0"/>
      <w:marTop w:val="0"/>
      <w:marBottom w:val="0"/>
      <w:divBdr>
        <w:top w:val="none" w:sz="0" w:space="0" w:color="auto"/>
        <w:left w:val="none" w:sz="0" w:space="0" w:color="auto"/>
        <w:bottom w:val="none" w:sz="0" w:space="0" w:color="auto"/>
        <w:right w:val="none" w:sz="0" w:space="0" w:color="auto"/>
      </w:divBdr>
    </w:div>
    <w:div w:id="19417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tie.belgium.be/nl/nieuws/andere_berichten/lees_het_eindrapport_over_de_wet_op_meerderjarige_beschermde_personen" TargetMode="External"/><Relationship Id="rId3" Type="http://schemas.openxmlformats.org/officeDocument/2006/relationships/settings" Target="settings.xml"/><Relationship Id="rId7" Type="http://schemas.openxmlformats.org/officeDocument/2006/relationships/hyperlink" Target="https://ph.belgium.b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fr/instruments-mechanisms/instruments/convention-rights-persons-disabilities" TargetMode="External"/><Relationship Id="rId5" Type="http://schemas.openxmlformats.org/officeDocument/2006/relationships/hyperlink" Target="https://www.ohchr.org/fr/instruments-mechanisms/instruments/convention-rights-persons-disabili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docId:2009D032EE1E867D9CD97F178CAADBC6</cp:keywords>
  <dc:description/>
  <cp:lastModifiedBy>Parent Eva</cp:lastModifiedBy>
  <cp:revision>4</cp:revision>
  <dcterms:created xsi:type="dcterms:W3CDTF">2025-09-10T07:44:00Z</dcterms:created>
  <dcterms:modified xsi:type="dcterms:W3CDTF">2025-09-10T08:57:00Z</dcterms:modified>
</cp:coreProperties>
</file>