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3026C" w14:textId="15C9C537" w:rsidR="00FB573D" w:rsidRPr="009503A9" w:rsidRDefault="009503A9">
      <w:pPr>
        <w:rPr>
          <w:sz w:val="32"/>
          <w:szCs w:val="32"/>
        </w:rPr>
      </w:pPr>
      <w:r w:rsidRPr="009503A9">
        <w:rPr>
          <w:sz w:val="32"/>
          <w:szCs w:val="32"/>
          <w:highlight w:val="yellow"/>
        </w:rPr>
        <w:t xml:space="preserve">VERTALING DEEPL </w:t>
      </w:r>
      <w:proofErr w:type="spellStart"/>
      <w:r w:rsidRPr="009503A9">
        <w:rPr>
          <w:sz w:val="32"/>
          <w:szCs w:val="32"/>
          <w:highlight w:val="yellow"/>
        </w:rPr>
        <w:t>Zonder</w:t>
      </w:r>
      <w:proofErr w:type="spellEnd"/>
      <w:r w:rsidRPr="009503A9">
        <w:rPr>
          <w:sz w:val="32"/>
          <w:szCs w:val="32"/>
          <w:highlight w:val="yellow"/>
        </w:rPr>
        <w:t xml:space="preserve"> HERLEZING</w:t>
      </w:r>
      <w:r w:rsidRPr="009503A9">
        <w:rPr>
          <w:sz w:val="32"/>
          <w:szCs w:val="32"/>
        </w:rPr>
        <w:t xml:space="preserve"> </w:t>
      </w:r>
    </w:p>
    <w:tbl>
      <w:tblPr>
        <w:tblStyle w:val="Tabelraster"/>
        <w:tblW w:w="0" w:type="auto"/>
        <w:tblLook w:val="04A0" w:firstRow="1" w:lastRow="0" w:firstColumn="1" w:lastColumn="0" w:noHBand="0" w:noVBand="1"/>
      </w:tblPr>
      <w:tblGrid>
        <w:gridCol w:w="4114"/>
        <w:gridCol w:w="4182"/>
      </w:tblGrid>
      <w:tr w:rsidR="00AF75EA" w14:paraId="7F2F89CD" w14:textId="77777777" w:rsidTr="0086308B">
        <w:tc>
          <w:tcPr>
            <w:tcW w:w="4114" w:type="dxa"/>
            <w:tcBorders>
              <w:top w:val="single" w:sz="4" w:space="0" w:color="auto"/>
              <w:left w:val="single" w:sz="4" w:space="0" w:color="auto"/>
              <w:bottom w:val="nil"/>
              <w:right w:val="nil"/>
            </w:tcBorders>
          </w:tcPr>
          <w:p w14:paraId="3811B75A" w14:textId="77777777" w:rsidR="00AF75EA" w:rsidRDefault="00AF75EA" w:rsidP="0086308B">
            <w:bookmarkStart w:id="0" w:name="_Hlk210120368"/>
            <w:r>
              <w:rPr>
                <w:b/>
                <w:noProof/>
                <w:sz w:val="28"/>
                <w:szCs w:val="28"/>
              </w:rPr>
              <w:drawing>
                <wp:inline distT="0" distB="0" distL="0" distR="0" wp14:anchorId="16C053AF" wp14:editId="6B572AFA">
                  <wp:extent cx="1943100" cy="1074420"/>
                  <wp:effectExtent l="0" t="0" r="0" b="0"/>
                  <wp:docPr id="1562256734" name="Afbeelding 7"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Police, Graphique, graphisme&#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074420"/>
                          </a:xfrm>
                          <a:prstGeom prst="rect">
                            <a:avLst/>
                          </a:prstGeom>
                          <a:noFill/>
                          <a:ln>
                            <a:noFill/>
                          </a:ln>
                        </pic:spPr>
                      </pic:pic>
                    </a:graphicData>
                  </a:graphic>
                </wp:inline>
              </w:drawing>
            </w:r>
          </w:p>
        </w:tc>
        <w:tc>
          <w:tcPr>
            <w:tcW w:w="4182" w:type="dxa"/>
            <w:tcBorders>
              <w:top w:val="single" w:sz="4" w:space="0" w:color="auto"/>
              <w:left w:val="nil"/>
              <w:bottom w:val="nil"/>
              <w:right w:val="single" w:sz="4" w:space="0" w:color="auto"/>
            </w:tcBorders>
          </w:tcPr>
          <w:p w14:paraId="1AB3CF97" w14:textId="77777777" w:rsidR="00AF75EA" w:rsidRDefault="00AF75EA" w:rsidP="0086308B">
            <w:r>
              <w:rPr>
                <w:noProof/>
              </w:rPr>
              <w:drawing>
                <wp:inline distT="0" distB="0" distL="0" distR="0" wp14:anchorId="0A18A0D3" wp14:editId="6DDE769F">
                  <wp:extent cx="1264920" cy="1264920"/>
                  <wp:effectExtent l="0" t="0" r="0" b="0"/>
                  <wp:docPr id="1471201718" name="Afbeelding 6"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met tekst, Lettertype, Graphics, logo&#10;&#10;Door AI gegenereerde inhoud is mogelijk onjui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4920" cy="1264920"/>
                          </a:xfrm>
                          <a:prstGeom prst="rect">
                            <a:avLst/>
                          </a:prstGeom>
                          <a:noFill/>
                          <a:ln>
                            <a:noFill/>
                          </a:ln>
                        </pic:spPr>
                      </pic:pic>
                    </a:graphicData>
                  </a:graphic>
                </wp:inline>
              </w:drawing>
            </w:r>
          </w:p>
        </w:tc>
      </w:tr>
      <w:tr w:rsidR="00AF75EA" w14:paraId="67BD7ED2" w14:textId="77777777" w:rsidTr="0086308B">
        <w:tc>
          <w:tcPr>
            <w:tcW w:w="4114" w:type="dxa"/>
            <w:tcBorders>
              <w:top w:val="nil"/>
              <w:left w:val="single" w:sz="4" w:space="0" w:color="auto"/>
              <w:bottom w:val="nil"/>
              <w:right w:val="nil"/>
            </w:tcBorders>
          </w:tcPr>
          <w:p w14:paraId="5DC67548" w14:textId="77777777" w:rsidR="00AF75EA" w:rsidRDefault="00AF75EA" w:rsidP="0086308B">
            <w:r>
              <w:rPr>
                <w:noProof/>
              </w:rPr>
              <w:t xml:space="preserve"> </w:t>
            </w:r>
            <w:r>
              <w:rPr>
                <w:noProof/>
              </w:rPr>
              <w:drawing>
                <wp:inline distT="0" distB="0" distL="0" distR="0" wp14:anchorId="0A79A5E7" wp14:editId="77DE575F">
                  <wp:extent cx="1684020" cy="1333500"/>
                  <wp:effectExtent l="0" t="0" r="0" b="0"/>
                  <wp:docPr id="408386232" name="Afbeelding 5" descr="Afbeelding met Graphics, symbool,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fbeelding met Graphics, symbool, grafische vormgeving, Lettertype&#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4020" cy="133350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218E3615" w14:textId="77777777" w:rsidR="00AF75EA" w:rsidRDefault="00AF75EA" w:rsidP="0086308B">
            <w:r>
              <w:rPr>
                <w:noProof/>
              </w:rPr>
              <w:drawing>
                <wp:inline distT="0" distB="0" distL="0" distR="0" wp14:anchorId="27CACA27" wp14:editId="2685C6C3">
                  <wp:extent cx="1943100" cy="1135380"/>
                  <wp:effectExtent l="0" t="0" r="0" b="7620"/>
                  <wp:docPr id="1960978083" name="Afbeelding 4" descr="Afbeelding met tekst, Lettertype,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fbeelding met tekst, Lettertype, Graphics, ontwerp&#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43100" cy="1135380"/>
                          </a:xfrm>
                          <a:prstGeom prst="rect">
                            <a:avLst/>
                          </a:prstGeom>
                          <a:noFill/>
                          <a:ln>
                            <a:noFill/>
                          </a:ln>
                        </pic:spPr>
                      </pic:pic>
                    </a:graphicData>
                  </a:graphic>
                </wp:inline>
              </w:drawing>
            </w:r>
          </w:p>
        </w:tc>
      </w:tr>
      <w:tr w:rsidR="00AF75EA" w14:paraId="24E2EC04" w14:textId="77777777" w:rsidTr="0086308B">
        <w:tc>
          <w:tcPr>
            <w:tcW w:w="4114" w:type="dxa"/>
            <w:tcBorders>
              <w:top w:val="nil"/>
              <w:left w:val="single" w:sz="4" w:space="0" w:color="auto"/>
              <w:bottom w:val="nil"/>
              <w:right w:val="nil"/>
            </w:tcBorders>
          </w:tcPr>
          <w:p w14:paraId="6BB72B28" w14:textId="77777777" w:rsidR="00AF75EA" w:rsidRDefault="00AF75EA" w:rsidP="0086308B">
            <w:r>
              <w:rPr>
                <w:noProof/>
              </w:rPr>
              <w:drawing>
                <wp:inline distT="0" distB="0" distL="0" distR="0" wp14:anchorId="621FE816" wp14:editId="7A6F9A77">
                  <wp:extent cx="2179320" cy="548640"/>
                  <wp:effectExtent l="0" t="0" r="0" b="3810"/>
                  <wp:docPr id="1192032135" name="Afbeelding 3" descr="Afbeelding met Lettertype, tekst, Graphics,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Lettertype, tekst, Graphics, schermopname&#10;&#10;Door AI gegenereerde inhoud is mogelijk onjui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9320" cy="548640"/>
                          </a:xfrm>
                          <a:prstGeom prst="rect">
                            <a:avLst/>
                          </a:prstGeom>
                          <a:noFill/>
                          <a:ln>
                            <a:noFill/>
                          </a:ln>
                        </pic:spPr>
                      </pic:pic>
                    </a:graphicData>
                  </a:graphic>
                </wp:inline>
              </w:drawing>
            </w:r>
          </w:p>
        </w:tc>
        <w:tc>
          <w:tcPr>
            <w:tcW w:w="4182" w:type="dxa"/>
            <w:tcBorders>
              <w:top w:val="nil"/>
              <w:left w:val="nil"/>
              <w:bottom w:val="nil"/>
              <w:right w:val="single" w:sz="4" w:space="0" w:color="auto"/>
            </w:tcBorders>
          </w:tcPr>
          <w:p w14:paraId="6CFF9ACF" w14:textId="77777777" w:rsidR="00AF75EA" w:rsidRDefault="00AF75EA" w:rsidP="0086308B">
            <w:r>
              <w:rPr>
                <w:noProof/>
              </w:rPr>
              <w:drawing>
                <wp:inline distT="0" distB="0" distL="0" distR="0" wp14:anchorId="0AF966B9" wp14:editId="1CE66E19">
                  <wp:extent cx="2514600" cy="533400"/>
                  <wp:effectExtent l="0" t="0" r="0" b="0"/>
                  <wp:docPr id="936369316" name="Afbeelding 2" descr="Afbeelding met tekst, Lettertype,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fbeelding met tekst, Lettertype, schermopname&#10;&#10;Door AI gegenereerde inhoud is mogelijk onjui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4600" cy="533400"/>
                          </a:xfrm>
                          <a:prstGeom prst="rect">
                            <a:avLst/>
                          </a:prstGeom>
                          <a:noFill/>
                          <a:ln>
                            <a:noFill/>
                          </a:ln>
                        </pic:spPr>
                      </pic:pic>
                    </a:graphicData>
                  </a:graphic>
                </wp:inline>
              </w:drawing>
            </w:r>
          </w:p>
        </w:tc>
      </w:tr>
      <w:tr w:rsidR="00AF75EA" w14:paraId="7BBCD83B" w14:textId="77777777" w:rsidTr="0086308B">
        <w:trPr>
          <w:trHeight w:val="1265"/>
        </w:trPr>
        <w:tc>
          <w:tcPr>
            <w:tcW w:w="8296" w:type="dxa"/>
            <w:gridSpan w:val="2"/>
            <w:tcBorders>
              <w:top w:val="nil"/>
              <w:left w:val="single" w:sz="4" w:space="0" w:color="auto"/>
              <w:bottom w:val="single" w:sz="4" w:space="0" w:color="auto"/>
              <w:right w:val="single" w:sz="4" w:space="0" w:color="auto"/>
            </w:tcBorders>
          </w:tcPr>
          <w:p w14:paraId="30850FD3" w14:textId="77777777" w:rsidR="00AF75EA" w:rsidRPr="00E63ED0" w:rsidRDefault="00AF75EA" w:rsidP="0086308B">
            <w:pPr>
              <w:rPr>
                <w:rFonts w:ascii="Georgia" w:hAnsi="Georgia"/>
                <w:b/>
                <w:bCs/>
                <w:noProof/>
                <w:color w:val="000000"/>
                <w:sz w:val="20"/>
                <w:szCs w:val="20"/>
                <w:lang w:val="en-US"/>
              </w:rPr>
            </w:pPr>
            <w:r>
              <w:rPr>
                <w:rFonts w:ascii="Arial" w:hAnsi="Arial" w:cs="Arial"/>
                <w:b/>
                <w:bCs/>
                <w:sz w:val="20"/>
                <w:szCs w:val="20"/>
              </w:rPr>
              <w:br/>
            </w:r>
            <w:r>
              <w:rPr>
                <w:rFonts w:ascii="Georgia" w:hAnsi="Georgia"/>
                <w:b/>
                <w:noProof/>
                <w:color w:val="000000"/>
                <w:sz w:val="20"/>
                <w:szCs w:val="20"/>
                <w:lang w:val="en-US"/>
              </w:rPr>
              <w:drawing>
                <wp:inline distT="0" distB="0" distL="0" distR="0" wp14:anchorId="4F1A72F9" wp14:editId="46B0746F">
                  <wp:extent cx="3368040" cy="731520"/>
                  <wp:effectExtent l="0" t="0" r="3810" b="0"/>
                  <wp:docPr id="1907327058" name="Afbeelding 1"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27058" name="Afbeelding 1" descr="Afbeelding met tekst, Lettertype, schermopname, logo&#10;&#10;Door AI gegenereerde inhoud is mogelijk onjui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68040" cy="731520"/>
                          </a:xfrm>
                          <a:prstGeom prst="rect">
                            <a:avLst/>
                          </a:prstGeom>
                          <a:noFill/>
                          <a:ln>
                            <a:noFill/>
                          </a:ln>
                        </pic:spPr>
                      </pic:pic>
                    </a:graphicData>
                  </a:graphic>
                </wp:inline>
              </w:drawing>
            </w:r>
          </w:p>
        </w:tc>
      </w:tr>
      <w:bookmarkEnd w:id="0"/>
    </w:tbl>
    <w:p w14:paraId="737C6A3E" w14:textId="77777777" w:rsidR="00EE5740" w:rsidRPr="009503A9" w:rsidRDefault="00EE5740">
      <w:pPr>
        <w:rPr>
          <w:lang w:val="nl-BE"/>
        </w:rPr>
      </w:pPr>
    </w:p>
    <w:p w14:paraId="08A7F563" w14:textId="77777777" w:rsidR="00FB573D" w:rsidRPr="009503A9" w:rsidRDefault="00FB573D">
      <w:pPr>
        <w:rPr>
          <w:lang w:val="nl-BE"/>
        </w:rPr>
      </w:pPr>
    </w:p>
    <w:p w14:paraId="2E7D7CE1" w14:textId="382E0B21" w:rsidR="007A44D9" w:rsidRPr="009503A9" w:rsidRDefault="00DA7478" w:rsidP="00E20CA8">
      <w:pPr>
        <w:jc w:val="both"/>
        <w:rPr>
          <w:lang w:val="nl-BE"/>
        </w:rPr>
      </w:pPr>
      <w:r w:rsidRPr="009503A9">
        <w:rPr>
          <w:lang w:val="nl-BE"/>
        </w:rPr>
        <w:t>Advies nr.</w:t>
      </w:r>
      <w:r w:rsidR="007C0FC5" w:rsidRPr="009503A9">
        <w:rPr>
          <w:lang w:val="nl-BE"/>
        </w:rPr>
        <w:t xml:space="preserve"> 2025/22 van het platform van adviesraden voor personen met een handicap over de noodzaak om het </w:t>
      </w:r>
      <w:r w:rsidR="00EE5740" w:rsidRPr="009503A9">
        <w:rPr>
          <w:lang w:val="nl-BE"/>
        </w:rPr>
        <w:t xml:space="preserve">een juridische status en </w:t>
      </w:r>
      <w:r w:rsidR="007C0FC5" w:rsidRPr="009503A9">
        <w:rPr>
          <w:lang w:val="nl-BE"/>
        </w:rPr>
        <w:t xml:space="preserve">een specifiek en permanent secretariaat </w:t>
      </w:r>
      <w:r w:rsidR="00EE5740" w:rsidRPr="009503A9">
        <w:rPr>
          <w:lang w:val="nl-BE"/>
        </w:rPr>
        <w:t xml:space="preserve">toe te kennen.  </w:t>
      </w:r>
    </w:p>
    <w:p w14:paraId="4E5EF463" w14:textId="77777777" w:rsidR="007C0FC5" w:rsidRPr="009503A9" w:rsidRDefault="007C0FC5" w:rsidP="00A83CDC">
      <w:pPr>
        <w:jc w:val="both"/>
        <w:rPr>
          <w:lang w:val="nl-BE"/>
        </w:rPr>
      </w:pPr>
    </w:p>
    <w:p w14:paraId="64F7831B" w14:textId="7D1ECA81" w:rsidR="00A83CDC" w:rsidRPr="009503A9" w:rsidRDefault="006601C8" w:rsidP="00A83CDC">
      <w:pPr>
        <w:jc w:val="both"/>
        <w:rPr>
          <w:lang w:val="nl-BE"/>
        </w:rPr>
      </w:pPr>
      <w:r w:rsidRPr="009503A9">
        <w:rPr>
          <w:lang w:val="nl-BE"/>
        </w:rPr>
        <w:t xml:space="preserve">Uitgebracht </w:t>
      </w:r>
      <w:r w:rsidR="00615CB0" w:rsidRPr="009503A9">
        <w:rPr>
          <w:lang w:val="nl-BE"/>
        </w:rPr>
        <w:t xml:space="preserve">op XX/XX/20XX </w:t>
      </w:r>
      <w:r w:rsidRPr="009503A9">
        <w:rPr>
          <w:lang w:val="nl-BE"/>
        </w:rPr>
        <w:t xml:space="preserve">na </w:t>
      </w:r>
      <w:r w:rsidR="007C0FC5" w:rsidRPr="009503A9">
        <w:rPr>
          <w:lang w:val="nl-BE"/>
        </w:rPr>
        <w:t xml:space="preserve">bespreking in het platform op 1 juni </w:t>
      </w:r>
      <w:r w:rsidR="00A0594E" w:rsidRPr="009503A9">
        <w:rPr>
          <w:lang w:val="nl-BE"/>
        </w:rPr>
        <w:t xml:space="preserve">en </w:t>
      </w:r>
      <w:r w:rsidRPr="009503A9">
        <w:rPr>
          <w:lang w:val="nl-BE"/>
        </w:rPr>
        <w:t xml:space="preserve">raadpleging van </w:t>
      </w:r>
      <w:r w:rsidR="007C0FC5" w:rsidRPr="009503A9">
        <w:rPr>
          <w:lang w:val="nl-BE"/>
        </w:rPr>
        <w:t xml:space="preserve">het platform </w:t>
      </w:r>
      <w:r w:rsidRPr="009503A9">
        <w:rPr>
          <w:lang w:val="nl-BE"/>
        </w:rPr>
        <w:t xml:space="preserve">per e-mail </w:t>
      </w:r>
      <w:r w:rsidR="007962A1" w:rsidRPr="009503A9">
        <w:rPr>
          <w:lang w:val="nl-BE"/>
        </w:rPr>
        <w:t xml:space="preserve">tussen 25 juli en 10 augustus 2025 </w:t>
      </w:r>
      <w:r w:rsidRPr="009503A9">
        <w:rPr>
          <w:lang w:val="nl-BE"/>
        </w:rPr>
        <w:t xml:space="preserve">vanwege </w:t>
      </w:r>
      <w:r w:rsidR="00615CB0" w:rsidRPr="009503A9">
        <w:rPr>
          <w:lang w:val="nl-BE"/>
        </w:rPr>
        <w:t xml:space="preserve">de urgentie </w:t>
      </w:r>
      <w:r w:rsidR="007C0FC5" w:rsidRPr="009503A9">
        <w:rPr>
          <w:lang w:val="nl-BE"/>
        </w:rPr>
        <w:t>van de kwestie</w:t>
      </w:r>
      <w:r w:rsidRPr="009503A9">
        <w:rPr>
          <w:lang w:val="nl-BE"/>
        </w:rPr>
        <w:t>.</w:t>
      </w:r>
    </w:p>
    <w:p w14:paraId="066D862B" w14:textId="77777777" w:rsidR="006601C8" w:rsidRPr="009503A9" w:rsidRDefault="006601C8" w:rsidP="00A83CDC">
      <w:pPr>
        <w:jc w:val="both"/>
        <w:rPr>
          <w:lang w:val="nl-BE"/>
        </w:rPr>
      </w:pPr>
    </w:p>
    <w:p w14:paraId="27602498" w14:textId="20BBC0E4" w:rsidR="00A83CDC" w:rsidRPr="009503A9" w:rsidRDefault="00A83CDC" w:rsidP="007C0FC5">
      <w:pPr>
        <w:jc w:val="both"/>
        <w:rPr>
          <w:lang w:val="nl-BE"/>
        </w:rPr>
      </w:pPr>
      <w:r w:rsidRPr="009503A9">
        <w:rPr>
          <w:lang w:val="nl-BE"/>
        </w:rPr>
        <w:t xml:space="preserve">Advies uitgebracht op initiatief van </w:t>
      </w:r>
      <w:r w:rsidR="007C0FC5" w:rsidRPr="009503A9">
        <w:rPr>
          <w:lang w:val="nl-BE"/>
        </w:rPr>
        <w:t>het platform van adviesraden voor gehandicapten</w:t>
      </w:r>
      <w:r w:rsidR="00CC379D" w:rsidRPr="009503A9">
        <w:rPr>
          <w:lang w:val="nl-BE"/>
        </w:rPr>
        <w:t>.</w:t>
      </w:r>
    </w:p>
    <w:p w14:paraId="5B546812" w14:textId="77777777" w:rsidR="00A83CDC" w:rsidRPr="009503A9" w:rsidRDefault="00A83CDC" w:rsidP="00A83CDC">
      <w:pPr>
        <w:ind w:left="720"/>
        <w:jc w:val="both"/>
        <w:rPr>
          <w:lang w:val="nl-BE"/>
        </w:rPr>
      </w:pPr>
    </w:p>
    <w:p w14:paraId="50296A42" w14:textId="77777777" w:rsidR="00A83CDC" w:rsidRPr="009503A9" w:rsidRDefault="00A83CDC" w:rsidP="00A83CDC">
      <w:pPr>
        <w:ind w:left="720"/>
        <w:jc w:val="both"/>
        <w:rPr>
          <w:lang w:val="nl-BE"/>
        </w:rPr>
      </w:pPr>
    </w:p>
    <w:p w14:paraId="5FDE5026" w14:textId="77777777" w:rsidR="00A8661A" w:rsidRDefault="00A8661A" w:rsidP="00A8661A">
      <w:pPr>
        <w:numPr>
          <w:ilvl w:val="0"/>
          <w:numId w:val="2"/>
        </w:numPr>
        <w:jc w:val="both"/>
        <w:outlineLvl w:val="0"/>
        <w:rPr>
          <w:b/>
          <w:u w:val="single"/>
        </w:rPr>
      </w:pPr>
      <w:r>
        <w:rPr>
          <w:b/>
          <w:u w:val="single"/>
        </w:rPr>
        <w:t xml:space="preserve">ADVIES </w:t>
      </w:r>
      <w:r w:rsidR="004B2938">
        <w:rPr>
          <w:b/>
          <w:u w:val="single"/>
        </w:rPr>
        <w:t xml:space="preserve">BESTEMD VOOR </w:t>
      </w:r>
    </w:p>
    <w:p w14:paraId="6EB5AA67" w14:textId="77777777" w:rsidR="00A8661A" w:rsidRDefault="00A8661A" w:rsidP="00A8661A">
      <w:pPr>
        <w:jc w:val="both"/>
        <w:rPr>
          <w:b/>
          <w:u w:val="single"/>
        </w:rPr>
      </w:pPr>
    </w:p>
    <w:p w14:paraId="4A572123" w14:textId="123079DF" w:rsidR="00A8661A" w:rsidRPr="009503A9" w:rsidRDefault="00A8661A" w:rsidP="00A8661A">
      <w:pPr>
        <w:numPr>
          <w:ilvl w:val="1"/>
          <w:numId w:val="2"/>
        </w:numPr>
        <w:jc w:val="both"/>
        <w:outlineLvl w:val="1"/>
        <w:rPr>
          <w:b/>
          <w:u w:val="single"/>
          <w:lang w:val="nl-BE"/>
        </w:rPr>
      </w:pPr>
      <w:r w:rsidRPr="009503A9">
        <w:rPr>
          <w:lang w:val="nl-BE"/>
        </w:rPr>
        <w:t xml:space="preserve">Ter verdere opvolging aan </w:t>
      </w:r>
      <w:r w:rsidR="00F313B5" w:rsidRPr="009503A9">
        <w:rPr>
          <w:lang w:val="nl-BE"/>
        </w:rPr>
        <w:t xml:space="preserve">de heer Rob </w:t>
      </w:r>
      <w:proofErr w:type="spellStart"/>
      <w:r w:rsidR="00F313B5" w:rsidRPr="009503A9">
        <w:rPr>
          <w:lang w:val="nl-BE"/>
        </w:rPr>
        <w:t>Beenders</w:t>
      </w:r>
      <w:proofErr w:type="spellEnd"/>
      <w:r w:rsidR="00F313B5" w:rsidRPr="009503A9">
        <w:rPr>
          <w:lang w:val="nl-BE"/>
        </w:rPr>
        <w:t>, minister van Consumentenbescherming, Bestrijding van Sociale Fraude, Personen met een Handicap en Gelijke Kansen</w:t>
      </w:r>
    </w:p>
    <w:p w14:paraId="79E01E99" w14:textId="2041B756" w:rsidR="00F313B5" w:rsidRPr="009503A9" w:rsidRDefault="00F313B5" w:rsidP="00F313B5">
      <w:pPr>
        <w:numPr>
          <w:ilvl w:val="1"/>
          <w:numId w:val="2"/>
        </w:numPr>
        <w:jc w:val="both"/>
        <w:outlineLvl w:val="1"/>
        <w:rPr>
          <w:lang w:val="nl-BE"/>
        </w:rPr>
      </w:pPr>
      <w:r w:rsidRPr="009503A9">
        <w:rPr>
          <w:lang w:val="nl-BE"/>
        </w:rPr>
        <w:t>Ter informatie aan de heer Bart De Wever, premier</w:t>
      </w:r>
    </w:p>
    <w:p w14:paraId="06D67DCD" w14:textId="77777777" w:rsidR="007C0FC5" w:rsidRPr="009503A9" w:rsidRDefault="007C0FC5" w:rsidP="007C0FC5">
      <w:pPr>
        <w:numPr>
          <w:ilvl w:val="1"/>
          <w:numId w:val="2"/>
        </w:numPr>
        <w:jc w:val="both"/>
        <w:outlineLvl w:val="1"/>
        <w:rPr>
          <w:lang w:val="nl-BE"/>
        </w:rPr>
      </w:pPr>
      <w:bookmarkStart w:id="1" w:name="_Hlk197359378"/>
      <w:r w:rsidRPr="009503A9">
        <w:rPr>
          <w:lang w:val="nl-BE"/>
        </w:rPr>
        <w:t xml:space="preserve">Ter informatie aan de ministers bevoegd voor personen met een handicap in de gefedereerde entiteiten </w:t>
      </w:r>
    </w:p>
    <w:p w14:paraId="65BE54A4" w14:textId="5A1082D1" w:rsidR="007C0FC5" w:rsidRPr="009503A9" w:rsidRDefault="007C0FC5" w:rsidP="007C0FC5">
      <w:pPr>
        <w:numPr>
          <w:ilvl w:val="1"/>
          <w:numId w:val="2"/>
        </w:numPr>
        <w:jc w:val="both"/>
        <w:outlineLvl w:val="1"/>
        <w:rPr>
          <w:lang w:val="nl-BE"/>
        </w:rPr>
      </w:pPr>
      <w:r w:rsidRPr="009503A9">
        <w:rPr>
          <w:lang w:val="nl-BE"/>
        </w:rPr>
        <w:t xml:space="preserve">Ter verdere opvolging door de minister-presidenten </w:t>
      </w:r>
      <w:r w:rsidR="000A3E7C" w:rsidRPr="009503A9">
        <w:rPr>
          <w:lang w:val="nl-BE"/>
        </w:rPr>
        <w:t xml:space="preserve">van </w:t>
      </w:r>
      <w:r w:rsidR="00F430E2" w:rsidRPr="009503A9">
        <w:rPr>
          <w:lang w:val="nl-BE"/>
        </w:rPr>
        <w:t xml:space="preserve">de </w:t>
      </w:r>
      <w:r w:rsidR="000A3E7C" w:rsidRPr="009503A9">
        <w:rPr>
          <w:lang w:val="nl-BE"/>
        </w:rPr>
        <w:t xml:space="preserve">gefedereerde </w:t>
      </w:r>
      <w:r w:rsidR="00F430E2" w:rsidRPr="009503A9">
        <w:rPr>
          <w:lang w:val="nl-BE"/>
        </w:rPr>
        <w:t>entiteiten</w:t>
      </w:r>
    </w:p>
    <w:p w14:paraId="5E780995" w14:textId="2179667D" w:rsidR="00ED776B" w:rsidRPr="009503A9" w:rsidRDefault="007C0FC5" w:rsidP="00A750EC">
      <w:pPr>
        <w:numPr>
          <w:ilvl w:val="1"/>
          <w:numId w:val="2"/>
        </w:numPr>
        <w:jc w:val="both"/>
        <w:outlineLvl w:val="1"/>
        <w:rPr>
          <w:lang w:val="nl-BE"/>
        </w:rPr>
      </w:pPr>
      <w:r w:rsidRPr="009503A9">
        <w:rPr>
          <w:lang w:val="nl-BE"/>
        </w:rPr>
        <w:lastRenderedPageBreak/>
        <w:t xml:space="preserve">Ter verdere opvolging door de Interministeriële Conferentie </w:t>
      </w:r>
      <w:r w:rsidR="00ED776B" w:rsidRPr="009503A9">
        <w:rPr>
          <w:lang w:val="nl-BE"/>
        </w:rPr>
        <w:t>(IMC) Gelijke Kansen, Handicap en Racismebestrijding</w:t>
      </w:r>
      <w:bookmarkEnd w:id="1"/>
      <w:r w:rsidR="00ED776B" w:rsidRPr="009503A9">
        <w:rPr>
          <w:lang w:val="nl-BE"/>
        </w:rPr>
        <w:t xml:space="preserve"> </w:t>
      </w:r>
    </w:p>
    <w:p w14:paraId="700DC5A3" w14:textId="1BE294ED" w:rsidR="00A8661A" w:rsidRPr="006A0862" w:rsidRDefault="00A8661A" w:rsidP="00A750EC">
      <w:pPr>
        <w:numPr>
          <w:ilvl w:val="1"/>
          <w:numId w:val="2"/>
        </w:numPr>
        <w:jc w:val="both"/>
        <w:outlineLvl w:val="1"/>
      </w:pPr>
      <w:r w:rsidRPr="006A0862">
        <w:t xml:space="preserve">Ter </w:t>
      </w:r>
      <w:proofErr w:type="spellStart"/>
      <w:r w:rsidRPr="006A0862">
        <w:t>informatie</w:t>
      </w:r>
      <w:proofErr w:type="spellEnd"/>
      <w:r w:rsidRPr="006A0862">
        <w:t xml:space="preserve"> </w:t>
      </w:r>
      <w:proofErr w:type="spellStart"/>
      <w:r w:rsidRPr="006A0862">
        <w:t>aan</w:t>
      </w:r>
      <w:proofErr w:type="spellEnd"/>
      <w:r w:rsidRPr="006A0862">
        <w:t xml:space="preserve"> </w:t>
      </w:r>
      <w:proofErr w:type="spellStart"/>
      <w:r w:rsidRPr="006A0862">
        <w:t>Unia</w:t>
      </w:r>
      <w:proofErr w:type="spellEnd"/>
      <w:r w:rsidRPr="006A0862">
        <w:t xml:space="preserve"> </w:t>
      </w:r>
    </w:p>
    <w:p w14:paraId="5B63E8FC" w14:textId="77777777" w:rsidR="00A8661A" w:rsidRPr="009503A9" w:rsidRDefault="00A8661A" w:rsidP="00A8661A">
      <w:pPr>
        <w:numPr>
          <w:ilvl w:val="1"/>
          <w:numId w:val="2"/>
        </w:numPr>
        <w:jc w:val="both"/>
        <w:outlineLvl w:val="1"/>
        <w:rPr>
          <w:lang w:val="nl-BE"/>
        </w:rPr>
      </w:pPr>
      <w:r w:rsidRPr="009503A9">
        <w:rPr>
          <w:lang w:val="nl-BE"/>
        </w:rPr>
        <w:t>Ter informatie aan het Coördinatiemechanisme van het UNCRPD</w:t>
      </w:r>
    </w:p>
    <w:p w14:paraId="22EE059B" w14:textId="77777777" w:rsidR="00A8661A" w:rsidRPr="009503A9" w:rsidRDefault="00A8661A" w:rsidP="00A8661A">
      <w:pPr>
        <w:numPr>
          <w:ilvl w:val="1"/>
          <w:numId w:val="2"/>
        </w:numPr>
        <w:jc w:val="both"/>
        <w:outlineLvl w:val="1"/>
        <w:rPr>
          <w:lang w:val="nl-BE"/>
        </w:rPr>
      </w:pPr>
      <w:r w:rsidRPr="009503A9">
        <w:rPr>
          <w:lang w:val="nl-BE"/>
        </w:rPr>
        <w:t>Ter informatie aan de federale ombudsman</w:t>
      </w:r>
    </w:p>
    <w:p w14:paraId="2059E107" w14:textId="77777777" w:rsidR="00A8661A" w:rsidRPr="009503A9" w:rsidRDefault="00A8661A" w:rsidP="00A8661A">
      <w:pPr>
        <w:ind w:left="360"/>
        <w:jc w:val="both"/>
        <w:outlineLvl w:val="0"/>
        <w:rPr>
          <w:b/>
          <w:lang w:val="nl-BE"/>
        </w:rPr>
      </w:pPr>
    </w:p>
    <w:p w14:paraId="331A9B97" w14:textId="77777777" w:rsidR="00A8661A" w:rsidRPr="009503A9" w:rsidRDefault="00A8661A" w:rsidP="00A8661A">
      <w:pPr>
        <w:ind w:left="360"/>
        <w:jc w:val="both"/>
        <w:outlineLvl w:val="0"/>
        <w:rPr>
          <w:b/>
          <w:lang w:val="nl-BE"/>
        </w:rPr>
      </w:pPr>
    </w:p>
    <w:p w14:paraId="1ECFC5BA" w14:textId="77777777" w:rsidR="00267DCF" w:rsidRPr="00267DCF" w:rsidRDefault="00A83CDC" w:rsidP="0073760D">
      <w:pPr>
        <w:numPr>
          <w:ilvl w:val="0"/>
          <w:numId w:val="2"/>
        </w:numPr>
        <w:jc w:val="both"/>
        <w:outlineLvl w:val="0"/>
        <w:rPr>
          <w:b/>
        </w:rPr>
      </w:pPr>
      <w:r>
        <w:rPr>
          <w:b/>
          <w:u w:val="single"/>
        </w:rPr>
        <w:t xml:space="preserve">ONDERWERP </w:t>
      </w:r>
    </w:p>
    <w:p w14:paraId="23E12A31" w14:textId="77777777" w:rsidR="00267DCF" w:rsidRPr="00364805" w:rsidRDefault="00267DCF" w:rsidP="00267DCF">
      <w:pPr>
        <w:jc w:val="both"/>
        <w:rPr>
          <w:bCs/>
        </w:rPr>
      </w:pPr>
    </w:p>
    <w:p w14:paraId="101C676E" w14:textId="7B0DB0B5" w:rsidR="00267DCF" w:rsidRPr="009503A9" w:rsidRDefault="00A44465" w:rsidP="00267DCF">
      <w:pPr>
        <w:jc w:val="both"/>
        <w:rPr>
          <w:bCs/>
          <w:lang w:val="nl-BE"/>
        </w:rPr>
      </w:pPr>
      <w:r w:rsidRPr="009503A9">
        <w:rPr>
          <w:bCs/>
          <w:lang w:val="nl-BE"/>
        </w:rPr>
        <w:t xml:space="preserve">         </w:t>
      </w:r>
      <w:r w:rsidR="00A43707" w:rsidRPr="009503A9">
        <w:rPr>
          <w:bCs/>
          <w:lang w:val="nl-BE"/>
        </w:rPr>
        <w:t xml:space="preserve">Toewijzing van een specifiek en permanent secretariaat aan het platform dat de federale en gefedereerde adviesraden en de adviesraad op Europees en internationaal niveau (BDF – Belgian Disability Forum)     samenbrengt.     </w:t>
      </w:r>
    </w:p>
    <w:p w14:paraId="5E19351F" w14:textId="77777777" w:rsidR="00A44465" w:rsidRPr="009503A9" w:rsidRDefault="00A44465" w:rsidP="00267DCF">
      <w:pPr>
        <w:jc w:val="both"/>
        <w:rPr>
          <w:b/>
          <w:u w:val="single"/>
          <w:lang w:val="nl-BE"/>
        </w:rPr>
      </w:pPr>
    </w:p>
    <w:p w14:paraId="1E188B23" w14:textId="77777777" w:rsidR="00A44465" w:rsidRPr="009503A9" w:rsidRDefault="00A44465" w:rsidP="00267DCF">
      <w:pPr>
        <w:jc w:val="both"/>
        <w:rPr>
          <w:b/>
          <w:u w:val="single"/>
          <w:lang w:val="nl-BE"/>
        </w:rPr>
      </w:pPr>
    </w:p>
    <w:p w14:paraId="2CB8A155" w14:textId="77777777" w:rsidR="00A83CDC" w:rsidRPr="00A43707" w:rsidRDefault="00ED59D4" w:rsidP="0073760D">
      <w:pPr>
        <w:numPr>
          <w:ilvl w:val="0"/>
          <w:numId w:val="2"/>
        </w:numPr>
        <w:jc w:val="both"/>
        <w:outlineLvl w:val="0"/>
        <w:rPr>
          <w:b/>
        </w:rPr>
      </w:pPr>
      <w:r>
        <w:rPr>
          <w:b/>
          <w:u w:val="single"/>
        </w:rPr>
        <w:t xml:space="preserve">ANALYSE  </w:t>
      </w:r>
    </w:p>
    <w:p w14:paraId="776F8BEA" w14:textId="77777777" w:rsidR="00A43707" w:rsidRPr="00ED776B" w:rsidRDefault="00A43707" w:rsidP="00A43707">
      <w:pPr>
        <w:ind w:left="1211"/>
        <w:jc w:val="both"/>
        <w:outlineLvl w:val="0"/>
        <w:rPr>
          <w:b/>
        </w:rPr>
      </w:pPr>
    </w:p>
    <w:p w14:paraId="72634778" w14:textId="10D134ED" w:rsidR="00B66E15" w:rsidRPr="009503A9" w:rsidRDefault="00ED776B" w:rsidP="00A43707">
      <w:pPr>
        <w:jc w:val="both"/>
        <w:outlineLvl w:val="0"/>
        <w:rPr>
          <w:bCs/>
          <w:lang w:val="nl-BE"/>
        </w:rPr>
      </w:pPr>
      <w:r w:rsidRPr="009503A9">
        <w:rPr>
          <w:bCs/>
          <w:lang w:val="nl-BE"/>
        </w:rPr>
        <w:t xml:space="preserve">België is een federale staat met verschillende </w:t>
      </w:r>
      <w:r w:rsidR="008C5D12" w:rsidRPr="009503A9">
        <w:rPr>
          <w:bCs/>
          <w:lang w:val="nl-BE"/>
        </w:rPr>
        <w:t xml:space="preserve">gelijke bevoegdheidsniveaus </w:t>
      </w:r>
      <w:r w:rsidRPr="009503A9">
        <w:rPr>
          <w:bCs/>
          <w:lang w:val="nl-BE"/>
        </w:rPr>
        <w:t>(federaal, gemeenschappen, gewesten)</w:t>
      </w:r>
      <w:r w:rsidR="00B66E15" w:rsidRPr="009503A9">
        <w:rPr>
          <w:bCs/>
          <w:lang w:val="nl-BE"/>
        </w:rPr>
        <w:t xml:space="preserve">. De </w:t>
      </w:r>
      <w:r w:rsidRPr="009503A9">
        <w:rPr>
          <w:bCs/>
          <w:lang w:val="nl-BE"/>
        </w:rPr>
        <w:t xml:space="preserve">bevoegdheden </w:t>
      </w:r>
      <w:r w:rsidR="00B66E15" w:rsidRPr="009503A9">
        <w:rPr>
          <w:bCs/>
          <w:lang w:val="nl-BE"/>
        </w:rPr>
        <w:t xml:space="preserve">zijn soms </w:t>
      </w:r>
      <w:r w:rsidRPr="009503A9">
        <w:rPr>
          <w:bCs/>
          <w:lang w:val="nl-BE"/>
        </w:rPr>
        <w:t xml:space="preserve">verdeeld </w:t>
      </w:r>
      <w:r w:rsidR="00B66E15" w:rsidRPr="009503A9">
        <w:rPr>
          <w:bCs/>
          <w:lang w:val="nl-BE"/>
        </w:rPr>
        <w:t xml:space="preserve">over verschillende domeinen, wat </w:t>
      </w:r>
      <w:r w:rsidR="00A43707" w:rsidRPr="009503A9">
        <w:rPr>
          <w:bCs/>
          <w:lang w:val="nl-BE"/>
        </w:rPr>
        <w:t xml:space="preserve">samenwerking tussen de verschillende bevoegdheidsniveaus vereist. </w:t>
      </w:r>
      <w:r w:rsidR="00B66E15" w:rsidRPr="009503A9">
        <w:rPr>
          <w:bCs/>
          <w:lang w:val="nl-BE"/>
        </w:rPr>
        <w:t xml:space="preserve">Op het gebied van handicaps heeft de </w:t>
      </w:r>
      <w:r w:rsidR="00A43707" w:rsidRPr="009503A9">
        <w:rPr>
          <w:bCs/>
          <w:lang w:val="nl-BE"/>
        </w:rPr>
        <w:t xml:space="preserve">administratieve en politieke samenwerking </w:t>
      </w:r>
      <w:r w:rsidR="00B66E15" w:rsidRPr="009503A9">
        <w:rPr>
          <w:bCs/>
          <w:lang w:val="nl-BE"/>
        </w:rPr>
        <w:t xml:space="preserve">zich met name geconcretiseerd </w:t>
      </w:r>
      <w:r w:rsidR="00A43707" w:rsidRPr="009503A9">
        <w:rPr>
          <w:bCs/>
          <w:lang w:val="nl-BE"/>
        </w:rPr>
        <w:t>in de vorm van de CIM Handicap</w:t>
      </w:r>
      <w:r w:rsidR="008C5D12">
        <w:rPr>
          <w:rStyle w:val="Voetnootmarkering"/>
          <w:bCs/>
        </w:rPr>
        <w:footnoteReference w:id="1"/>
      </w:r>
      <w:r w:rsidR="00B66E15" w:rsidRPr="009503A9">
        <w:rPr>
          <w:bCs/>
          <w:lang w:val="nl-BE"/>
        </w:rPr>
        <w:t xml:space="preserve"> of </w:t>
      </w:r>
      <w:r w:rsidR="00A43707" w:rsidRPr="009503A9">
        <w:rPr>
          <w:bCs/>
          <w:lang w:val="nl-BE"/>
        </w:rPr>
        <w:t xml:space="preserve">het </w:t>
      </w:r>
      <w:proofErr w:type="spellStart"/>
      <w:r w:rsidR="00A43707" w:rsidRPr="009503A9">
        <w:rPr>
          <w:bCs/>
          <w:lang w:val="nl-BE"/>
        </w:rPr>
        <w:t>interfederale</w:t>
      </w:r>
      <w:proofErr w:type="spellEnd"/>
      <w:r w:rsidR="00A43707" w:rsidRPr="009503A9">
        <w:rPr>
          <w:bCs/>
          <w:lang w:val="nl-BE"/>
        </w:rPr>
        <w:t xml:space="preserve"> handicapplan</w:t>
      </w:r>
      <w:r w:rsidR="00B66E15" w:rsidRPr="009503A9">
        <w:rPr>
          <w:bCs/>
          <w:lang w:val="nl-BE"/>
        </w:rPr>
        <w:t xml:space="preserve"> 2021-2029</w:t>
      </w:r>
      <w:r w:rsidR="00A43707" w:rsidRPr="009503A9">
        <w:rPr>
          <w:bCs/>
          <w:lang w:val="nl-BE"/>
        </w:rPr>
        <w:t xml:space="preserve">. </w:t>
      </w:r>
    </w:p>
    <w:p w14:paraId="5A16DBE3" w14:textId="77777777" w:rsidR="00B66E15" w:rsidRPr="009503A9" w:rsidRDefault="00B66E15" w:rsidP="00A43707">
      <w:pPr>
        <w:jc w:val="both"/>
        <w:outlineLvl w:val="0"/>
        <w:rPr>
          <w:bCs/>
          <w:lang w:val="nl-BE"/>
        </w:rPr>
      </w:pPr>
    </w:p>
    <w:p w14:paraId="4CC68692" w14:textId="70864BB1" w:rsidR="00B66E15" w:rsidRPr="00ED776B" w:rsidRDefault="00B66E15" w:rsidP="00B66E15">
      <w:pPr>
        <w:jc w:val="both"/>
        <w:outlineLvl w:val="0"/>
        <w:rPr>
          <w:bCs/>
        </w:rPr>
      </w:pPr>
      <w:r w:rsidRPr="009503A9">
        <w:rPr>
          <w:bCs/>
          <w:lang w:val="nl-BE"/>
        </w:rPr>
        <w:t xml:space="preserve">Deze samenwerking is echter verre van perfect en vanuit het oogpunt van de burger is er een reëel probleem in verband met de gedeelde bevoegdheden: </w:t>
      </w:r>
      <w:r w:rsidRPr="009503A9">
        <w:rPr>
          <w:b/>
          <w:lang w:val="nl-BE"/>
        </w:rPr>
        <w:t xml:space="preserve">er zijn tal van gevallen van verlies van rechten en ongewenste effecten. </w:t>
      </w:r>
      <w:proofErr w:type="spellStart"/>
      <w:r>
        <w:rPr>
          <w:bCs/>
        </w:rPr>
        <w:t>Daarvoor</w:t>
      </w:r>
      <w:proofErr w:type="spellEnd"/>
      <w:r>
        <w:rPr>
          <w:bCs/>
        </w:rPr>
        <w:t xml:space="preserve"> </w:t>
      </w:r>
      <w:proofErr w:type="spellStart"/>
      <w:r>
        <w:rPr>
          <w:bCs/>
        </w:rPr>
        <w:t>zijn</w:t>
      </w:r>
      <w:proofErr w:type="spellEnd"/>
      <w:r>
        <w:rPr>
          <w:bCs/>
        </w:rPr>
        <w:t xml:space="preserve"> </w:t>
      </w:r>
      <w:proofErr w:type="spellStart"/>
      <w:r>
        <w:rPr>
          <w:bCs/>
        </w:rPr>
        <w:t>verschillende</w:t>
      </w:r>
      <w:proofErr w:type="spellEnd"/>
      <w:r>
        <w:rPr>
          <w:bCs/>
        </w:rPr>
        <w:t xml:space="preserve"> </w:t>
      </w:r>
      <w:proofErr w:type="spellStart"/>
      <w:r>
        <w:rPr>
          <w:bCs/>
        </w:rPr>
        <w:t>redenen</w:t>
      </w:r>
      <w:proofErr w:type="spellEnd"/>
      <w:r>
        <w:rPr>
          <w:bCs/>
        </w:rPr>
        <w:t xml:space="preserve">.  </w:t>
      </w:r>
    </w:p>
    <w:p w14:paraId="77257503" w14:textId="77777777" w:rsidR="00B66E15" w:rsidRPr="009503A9" w:rsidRDefault="00B66E15" w:rsidP="00B66E15">
      <w:pPr>
        <w:numPr>
          <w:ilvl w:val="1"/>
          <w:numId w:val="12"/>
        </w:numPr>
        <w:jc w:val="both"/>
        <w:outlineLvl w:val="0"/>
        <w:rPr>
          <w:bCs/>
          <w:lang w:val="nl-BE"/>
        </w:rPr>
      </w:pPr>
      <w:r w:rsidRPr="009503A9">
        <w:rPr>
          <w:bCs/>
          <w:lang w:val="nl-BE"/>
        </w:rPr>
        <w:t>Administratieve complexiteit: de betrokkenen moeten vaak tussen verschillende administraties laveren, wat de toegang tot rechten en diensten bemoeilijkt.</w:t>
      </w:r>
    </w:p>
    <w:p w14:paraId="7306FC75" w14:textId="4242974B" w:rsidR="00B66E15" w:rsidRPr="009503A9" w:rsidRDefault="00B66E15" w:rsidP="00B66E15">
      <w:pPr>
        <w:numPr>
          <w:ilvl w:val="1"/>
          <w:numId w:val="12"/>
        </w:numPr>
        <w:jc w:val="both"/>
        <w:outlineLvl w:val="0"/>
        <w:rPr>
          <w:bCs/>
          <w:lang w:val="nl-BE"/>
        </w:rPr>
      </w:pPr>
      <w:r w:rsidRPr="009503A9">
        <w:rPr>
          <w:bCs/>
          <w:lang w:val="nl-BE"/>
        </w:rPr>
        <w:t xml:space="preserve">Gebrek aan coördinatie: </w:t>
      </w:r>
      <w:r w:rsidR="000B68F9" w:rsidRPr="009503A9">
        <w:rPr>
          <w:bCs/>
          <w:lang w:val="nl-BE"/>
        </w:rPr>
        <w:t xml:space="preserve">de CIM behandelt lang niet alle kwesties (momenteel alleen werkgelegenheid, EDC en statistieken). </w:t>
      </w:r>
    </w:p>
    <w:p w14:paraId="6E1004D2" w14:textId="44E82FCE" w:rsidR="00B66E15" w:rsidRPr="009503A9" w:rsidRDefault="00B66E15" w:rsidP="00B66E15">
      <w:pPr>
        <w:numPr>
          <w:ilvl w:val="1"/>
          <w:numId w:val="12"/>
        </w:numPr>
        <w:jc w:val="both"/>
        <w:outlineLvl w:val="0"/>
        <w:rPr>
          <w:bCs/>
          <w:lang w:val="nl-BE"/>
        </w:rPr>
      </w:pPr>
      <w:r w:rsidRPr="009503A9">
        <w:rPr>
          <w:bCs/>
          <w:lang w:val="nl-BE"/>
        </w:rPr>
        <w:t xml:space="preserve">Territoriale ongelijkheden </w:t>
      </w:r>
      <w:r w:rsidRPr="009503A9">
        <w:rPr>
          <w:lang w:val="nl-BE"/>
        </w:rPr>
        <w:t>in de toegang tot financiële steun</w:t>
      </w:r>
      <w:r w:rsidRPr="009503A9">
        <w:rPr>
          <w:bCs/>
          <w:lang w:val="nl-BE"/>
        </w:rPr>
        <w:t>: afhankelijk van de regio of gemeenschap zijn de diensten en steunmaatregelen niet altijd gelijkwaardig. Bovendien verliest iemand die een opleiding volgt of werkt in een andere regio dan waar hij woont, de toegang tot financiële of technische steun</w:t>
      </w:r>
      <w:r w:rsidR="009A705A" w:rsidRPr="009503A9">
        <w:rPr>
          <w:bCs/>
          <w:lang w:val="nl-BE"/>
        </w:rPr>
        <w:t xml:space="preserve">. </w:t>
      </w:r>
    </w:p>
    <w:p w14:paraId="7795D0EA" w14:textId="496792D8" w:rsidR="00B66E15" w:rsidRPr="009503A9" w:rsidRDefault="00B66E15" w:rsidP="00B66E15">
      <w:pPr>
        <w:numPr>
          <w:ilvl w:val="1"/>
          <w:numId w:val="12"/>
        </w:numPr>
        <w:jc w:val="both"/>
        <w:outlineLvl w:val="0"/>
        <w:rPr>
          <w:bCs/>
          <w:lang w:val="nl-BE"/>
        </w:rPr>
      </w:pPr>
      <w:r w:rsidRPr="009503A9">
        <w:rPr>
          <w:bCs/>
          <w:lang w:val="nl-BE"/>
        </w:rPr>
        <w:t xml:space="preserve">Toename van administratieve formaliteiten: </w:t>
      </w:r>
      <w:r w:rsidR="000B68F9" w:rsidRPr="009503A9">
        <w:rPr>
          <w:bCs/>
          <w:lang w:val="nl-BE"/>
        </w:rPr>
        <w:t xml:space="preserve">personen met een handicap </w:t>
      </w:r>
      <w:r w:rsidRPr="009503A9">
        <w:rPr>
          <w:bCs/>
          <w:lang w:val="nl-BE"/>
        </w:rPr>
        <w:t>moeten vaak contact opnemen met verschillende overheidsinstanties (federaal, regionaal, gemeenschap) om diverse vormen van steun te krijgen (</w:t>
      </w:r>
      <w:r w:rsidR="009A705A" w:rsidRPr="009503A9">
        <w:rPr>
          <w:bCs/>
          <w:lang w:val="nl-BE"/>
        </w:rPr>
        <w:t>uitkeringen</w:t>
      </w:r>
      <w:r w:rsidRPr="009503A9">
        <w:rPr>
          <w:bCs/>
          <w:lang w:val="nl-BE"/>
        </w:rPr>
        <w:t xml:space="preserve">, technische </w:t>
      </w:r>
      <w:r w:rsidRPr="009503A9">
        <w:rPr>
          <w:bCs/>
          <w:lang w:val="nl-BE"/>
        </w:rPr>
        <w:lastRenderedPageBreak/>
        <w:t>hulpmiddelen, begeleiding, zorg). Deze versnippering bemoeilijkt de toegang tot rechten en verhoogt de administratieve lasten, met name voor personen met beperkte capaciteiten.</w:t>
      </w:r>
    </w:p>
    <w:p w14:paraId="497C9F1D" w14:textId="7CFED386" w:rsidR="00B66E15" w:rsidRPr="009503A9" w:rsidRDefault="00B66E15" w:rsidP="00B66E15">
      <w:pPr>
        <w:numPr>
          <w:ilvl w:val="1"/>
          <w:numId w:val="12"/>
        </w:numPr>
        <w:jc w:val="both"/>
        <w:outlineLvl w:val="0"/>
        <w:rPr>
          <w:bCs/>
          <w:lang w:val="nl-BE"/>
        </w:rPr>
      </w:pPr>
      <w:r w:rsidRPr="009503A9">
        <w:rPr>
          <w:bCs/>
          <w:lang w:val="nl-BE"/>
        </w:rPr>
        <w:t xml:space="preserve">Gebrek aan coördinatie tussen diensten: zo kan bijvoorbeeld een door een gewest beheerde thuiszorgdienst niet worden gecoördineerd met de federale medische zorg, waardoor er hiaten in de opvolging ontstaan. </w:t>
      </w:r>
    </w:p>
    <w:p w14:paraId="4CF0E9FC" w14:textId="1A7EC529" w:rsidR="00B66E15" w:rsidRPr="009503A9" w:rsidRDefault="00B66E15" w:rsidP="00B66E15">
      <w:pPr>
        <w:numPr>
          <w:ilvl w:val="1"/>
          <w:numId w:val="12"/>
        </w:numPr>
        <w:jc w:val="both"/>
        <w:outlineLvl w:val="0"/>
        <w:rPr>
          <w:bCs/>
          <w:lang w:val="nl-BE"/>
        </w:rPr>
      </w:pPr>
      <w:r w:rsidRPr="009503A9">
        <w:rPr>
          <w:bCs/>
          <w:lang w:val="nl-BE"/>
        </w:rPr>
        <w:t xml:space="preserve">Verschillen in </w:t>
      </w:r>
      <w:r w:rsidR="000B68F9" w:rsidRPr="009503A9">
        <w:rPr>
          <w:bCs/>
          <w:lang w:val="nl-BE"/>
        </w:rPr>
        <w:t xml:space="preserve">de criteria voor </w:t>
      </w:r>
      <w:r w:rsidRPr="009503A9">
        <w:rPr>
          <w:bCs/>
          <w:lang w:val="nl-BE"/>
        </w:rPr>
        <w:t xml:space="preserve">de erkenning van een handicap: de medische of administratieve criteria voor de erkenning van een handicap zijn niet altijd geharmoniseerd, wat ertoe kan leiden dat bepaalde instanties een aanvraag afwijzen, terwijl de persoon elders wel erkend zou worden. </w:t>
      </w:r>
    </w:p>
    <w:p w14:paraId="514D4934" w14:textId="0C5E68C6" w:rsidR="00B66E15" w:rsidRPr="009503A9" w:rsidRDefault="00B66E15" w:rsidP="00B66E15">
      <w:pPr>
        <w:numPr>
          <w:ilvl w:val="1"/>
          <w:numId w:val="12"/>
        </w:numPr>
        <w:jc w:val="both"/>
        <w:outlineLvl w:val="0"/>
        <w:rPr>
          <w:bCs/>
          <w:lang w:val="nl-BE"/>
        </w:rPr>
      </w:pPr>
      <w:r w:rsidRPr="009503A9">
        <w:rPr>
          <w:bCs/>
          <w:lang w:val="nl-BE"/>
        </w:rPr>
        <w:t xml:space="preserve">Moeilijkheden bij de integratie op school en op de arbeidsmarkt: de maatregelen ter ondersteuning van de integratie (gespecialiseerde schoolondersteuning, hulp bij het vinden van werk) verschillen per gemeenschap. Een </w:t>
      </w:r>
      <w:r w:rsidR="000B68F9" w:rsidRPr="009503A9">
        <w:rPr>
          <w:bCs/>
          <w:lang w:val="nl-BE"/>
        </w:rPr>
        <w:t xml:space="preserve">persoon met een handicap </w:t>
      </w:r>
      <w:r w:rsidRPr="009503A9">
        <w:rPr>
          <w:bCs/>
          <w:lang w:val="nl-BE"/>
        </w:rPr>
        <w:t xml:space="preserve">kan dus, afhankelijk van waar hij woont, zeer uiteenlopende vormen </w:t>
      </w:r>
      <w:r w:rsidR="000B68F9" w:rsidRPr="009503A9">
        <w:rPr>
          <w:bCs/>
          <w:lang w:val="nl-BE"/>
        </w:rPr>
        <w:t>van ondersteuning</w:t>
      </w:r>
      <w:r w:rsidRPr="009503A9">
        <w:rPr>
          <w:bCs/>
          <w:lang w:val="nl-BE"/>
        </w:rPr>
        <w:t xml:space="preserve"> krijgen.</w:t>
      </w:r>
    </w:p>
    <w:p w14:paraId="1CFE35DF" w14:textId="77777777" w:rsidR="00B66E15" w:rsidRPr="009503A9" w:rsidRDefault="00B66E15" w:rsidP="00B66E15">
      <w:pPr>
        <w:jc w:val="both"/>
        <w:outlineLvl w:val="0"/>
        <w:rPr>
          <w:bCs/>
          <w:lang w:val="nl-BE"/>
        </w:rPr>
      </w:pPr>
    </w:p>
    <w:p w14:paraId="041E41F9" w14:textId="77777777" w:rsidR="00B66E15" w:rsidRPr="009503A9" w:rsidRDefault="00B66E15" w:rsidP="00B66E15">
      <w:pPr>
        <w:jc w:val="both"/>
        <w:outlineLvl w:val="0"/>
        <w:rPr>
          <w:bCs/>
          <w:lang w:val="nl-BE"/>
        </w:rPr>
      </w:pPr>
    </w:p>
    <w:p w14:paraId="17D5A488" w14:textId="77777777" w:rsidR="00B66E15" w:rsidRPr="009503A9" w:rsidRDefault="00B66E15" w:rsidP="00B66E15">
      <w:pPr>
        <w:jc w:val="both"/>
        <w:outlineLvl w:val="0"/>
        <w:rPr>
          <w:bCs/>
          <w:lang w:val="nl-BE"/>
        </w:rPr>
      </w:pPr>
      <w:r w:rsidRPr="009503A9">
        <w:rPr>
          <w:b/>
          <w:lang w:val="nl-BE"/>
        </w:rPr>
        <w:t>In het dagelijks leven kunnen deze problemen dramatische gevolgen hebben</w:t>
      </w:r>
      <w:r w:rsidRPr="009503A9">
        <w:rPr>
          <w:bCs/>
          <w:lang w:val="nl-BE"/>
        </w:rPr>
        <w:t>: uitputting van de persoon en het gezin, niet-gebruik van rechten, isolatie en uitsluiting, armoede...</w:t>
      </w:r>
    </w:p>
    <w:p w14:paraId="7326BED0" w14:textId="7A15BC49" w:rsidR="00B66E15" w:rsidRPr="009503A9" w:rsidRDefault="00B66E15" w:rsidP="00A43707">
      <w:pPr>
        <w:jc w:val="both"/>
        <w:outlineLvl w:val="0"/>
        <w:rPr>
          <w:bCs/>
          <w:lang w:val="nl-BE"/>
        </w:rPr>
      </w:pPr>
    </w:p>
    <w:p w14:paraId="3DDAA6E9" w14:textId="5B4A7B58" w:rsidR="00DB75BE" w:rsidRPr="009503A9" w:rsidRDefault="00813B80" w:rsidP="00DB75BE">
      <w:pPr>
        <w:jc w:val="both"/>
        <w:outlineLvl w:val="0"/>
        <w:rPr>
          <w:lang w:val="nl-BE"/>
        </w:rPr>
      </w:pPr>
      <w:r w:rsidRPr="009503A9">
        <w:rPr>
          <w:lang w:val="nl-BE"/>
        </w:rPr>
        <w:t xml:space="preserve">Deze </w:t>
      </w:r>
      <w:r w:rsidR="36513888" w:rsidRPr="009503A9">
        <w:rPr>
          <w:lang w:val="nl-BE"/>
        </w:rPr>
        <w:t xml:space="preserve">situaties </w:t>
      </w:r>
      <w:r w:rsidRPr="009503A9">
        <w:rPr>
          <w:lang w:val="nl-BE"/>
        </w:rPr>
        <w:t xml:space="preserve">zijn helaas geen uitzonderingen en voor de adviesraden voor personen met een handicap </w:t>
      </w:r>
      <w:r w:rsidR="000B68F9" w:rsidRPr="009503A9">
        <w:rPr>
          <w:lang w:val="nl-BE"/>
        </w:rPr>
        <w:t xml:space="preserve">komt het erop aan om </w:t>
      </w:r>
      <w:r w:rsidR="00B66E15" w:rsidRPr="009503A9">
        <w:rPr>
          <w:lang w:val="nl-BE"/>
        </w:rPr>
        <w:t xml:space="preserve">namens alle </w:t>
      </w:r>
      <w:r w:rsidR="000B68F9" w:rsidRPr="009503A9">
        <w:rPr>
          <w:lang w:val="nl-BE"/>
        </w:rPr>
        <w:t xml:space="preserve">personen met een handicap </w:t>
      </w:r>
      <w:r w:rsidR="00B66E15" w:rsidRPr="009503A9">
        <w:rPr>
          <w:lang w:val="nl-BE"/>
        </w:rPr>
        <w:t xml:space="preserve">in </w:t>
      </w:r>
      <w:r w:rsidR="000B68F9" w:rsidRPr="009503A9">
        <w:rPr>
          <w:lang w:val="nl-BE"/>
        </w:rPr>
        <w:t xml:space="preserve">België </w:t>
      </w:r>
      <w:r w:rsidR="00B66E15" w:rsidRPr="009503A9">
        <w:rPr>
          <w:lang w:val="nl-BE"/>
        </w:rPr>
        <w:t xml:space="preserve">te spreken </w:t>
      </w:r>
      <w:r w:rsidR="000B68F9" w:rsidRPr="009503A9">
        <w:rPr>
          <w:lang w:val="nl-BE"/>
        </w:rPr>
        <w:t xml:space="preserve">en </w:t>
      </w:r>
      <w:r w:rsidR="00B66E15" w:rsidRPr="009503A9">
        <w:rPr>
          <w:lang w:val="nl-BE"/>
        </w:rPr>
        <w:t xml:space="preserve">de </w:t>
      </w:r>
      <w:r w:rsidR="000B68F9" w:rsidRPr="009503A9">
        <w:rPr>
          <w:lang w:val="nl-BE"/>
        </w:rPr>
        <w:t>algemene</w:t>
      </w:r>
      <w:r w:rsidR="00B66E15" w:rsidRPr="009503A9">
        <w:rPr>
          <w:lang w:val="nl-BE"/>
        </w:rPr>
        <w:t xml:space="preserve"> problemen </w:t>
      </w:r>
      <w:r w:rsidR="000B68F9" w:rsidRPr="009503A9">
        <w:rPr>
          <w:lang w:val="nl-BE"/>
        </w:rPr>
        <w:t xml:space="preserve">aan te kaarten </w:t>
      </w:r>
      <w:r w:rsidR="00B66E15" w:rsidRPr="009503A9">
        <w:rPr>
          <w:lang w:val="nl-BE"/>
        </w:rPr>
        <w:t xml:space="preserve">die de bevoegdheden </w:t>
      </w:r>
      <w:r w:rsidR="000B68F9" w:rsidRPr="009503A9">
        <w:rPr>
          <w:lang w:val="nl-BE"/>
        </w:rPr>
        <w:t xml:space="preserve">van elke entiteit </w:t>
      </w:r>
      <w:r w:rsidR="00B66E15" w:rsidRPr="009503A9">
        <w:rPr>
          <w:lang w:val="nl-BE"/>
        </w:rPr>
        <w:t>overstijgen</w:t>
      </w:r>
      <w:r w:rsidR="000B68F9" w:rsidRPr="009503A9">
        <w:rPr>
          <w:lang w:val="nl-BE"/>
        </w:rPr>
        <w:t xml:space="preserve">. </w:t>
      </w:r>
      <w:r w:rsidR="678E2BC6" w:rsidRPr="009503A9">
        <w:rPr>
          <w:lang w:val="nl-BE"/>
        </w:rPr>
        <w:t xml:space="preserve">Bij gebrek aan geïntegreerde algemene statistieken in België </w:t>
      </w:r>
      <w:r w:rsidR="00DB75BE" w:rsidRPr="009503A9">
        <w:rPr>
          <w:lang w:val="nl-BE"/>
        </w:rPr>
        <w:t>is het onmogelijk om deze realiteiten te kwantificeren</w:t>
      </w:r>
      <w:r w:rsidR="678E2BC6" w:rsidRPr="009503A9">
        <w:rPr>
          <w:lang w:val="nl-BE"/>
        </w:rPr>
        <w:t>,</w:t>
      </w:r>
      <w:r w:rsidR="00DB75BE" w:rsidRPr="009503A9">
        <w:rPr>
          <w:lang w:val="nl-BE"/>
        </w:rPr>
        <w:t xml:space="preserve"> maar alle gespecialiseerde institutionele actoren (UNIA, FOD Sociale Zekerheid, </w:t>
      </w:r>
      <w:proofErr w:type="spellStart"/>
      <w:r w:rsidR="00DB75BE" w:rsidRPr="009503A9">
        <w:rPr>
          <w:lang w:val="nl-BE"/>
        </w:rPr>
        <w:t>Statbel</w:t>
      </w:r>
      <w:proofErr w:type="spellEnd"/>
      <w:r w:rsidR="00DB75BE" w:rsidRPr="009503A9">
        <w:rPr>
          <w:lang w:val="nl-BE"/>
        </w:rPr>
        <w:t xml:space="preserve">...) zijn het erover eens dat de </w:t>
      </w:r>
      <w:r w:rsidR="00DB75BE" w:rsidRPr="009503A9">
        <w:rPr>
          <w:rStyle w:val="Zwaar"/>
          <w:lang w:val="nl-BE"/>
        </w:rPr>
        <w:t xml:space="preserve">federale complexiteit de territoriale verschillen vergroot, </w:t>
      </w:r>
      <w:r w:rsidR="00DB75BE" w:rsidRPr="009503A9">
        <w:rPr>
          <w:lang w:val="nl-BE"/>
        </w:rPr>
        <w:t xml:space="preserve">de behandeling van rechten vertraagt en ernstige administratieve obstakels creëert voor personen met een handicap. Deze situatie is niet specifiek voor het domein van de handicap, maar is bijzonder voelbaar voor een publiek dat van meet af aan kwetsbaar is en voor wie er weinig voorzieningen zijn om zich door het administratieve doolhof te bewegen. Deze situatie wordt ook breed uitgemeten in de academische literatuur, die als oplossingen uiteraard wijst op de harmonisatie van criteria en procedures, de invoering van </w:t>
      </w:r>
      <w:proofErr w:type="spellStart"/>
      <w:r w:rsidR="00DB75BE" w:rsidRPr="009503A9">
        <w:rPr>
          <w:lang w:val="nl-BE"/>
        </w:rPr>
        <w:t>éénloketten</w:t>
      </w:r>
      <w:proofErr w:type="spellEnd"/>
      <w:r w:rsidR="00DB75BE" w:rsidRPr="009503A9">
        <w:rPr>
          <w:lang w:val="nl-BE"/>
        </w:rPr>
        <w:t xml:space="preserve">, de versterking van de coördinerende instanties (CIM en protocollen). </w:t>
      </w:r>
      <w:r w:rsidR="12B676E9" w:rsidRPr="009503A9">
        <w:rPr>
          <w:lang w:val="nl-BE"/>
        </w:rPr>
        <w:t xml:space="preserve">Een recente studie over </w:t>
      </w:r>
      <w:r w:rsidR="65432DBD" w:rsidRPr="009503A9">
        <w:rPr>
          <w:lang w:val="nl-BE"/>
        </w:rPr>
        <w:t xml:space="preserve">uitkeringen voor personen met een handicap heeft </w:t>
      </w:r>
      <w:r w:rsidR="70F51133" w:rsidRPr="009503A9">
        <w:rPr>
          <w:lang w:val="nl-BE"/>
        </w:rPr>
        <w:t xml:space="preserve">ook </w:t>
      </w:r>
      <w:r w:rsidR="099C569D" w:rsidRPr="009503A9">
        <w:rPr>
          <w:lang w:val="nl-BE"/>
        </w:rPr>
        <w:t>het belang</w:t>
      </w:r>
      <w:r w:rsidR="65432DBD" w:rsidRPr="009503A9">
        <w:rPr>
          <w:lang w:val="nl-BE"/>
        </w:rPr>
        <w:t xml:space="preserve"> aangetoond </w:t>
      </w:r>
      <w:r w:rsidR="099C569D" w:rsidRPr="009503A9">
        <w:rPr>
          <w:lang w:val="nl-BE"/>
        </w:rPr>
        <w:t xml:space="preserve">van geïntegreerde maatregelen om het </w:t>
      </w:r>
      <w:r w:rsidR="65432DBD" w:rsidRPr="009503A9">
        <w:rPr>
          <w:lang w:val="nl-BE"/>
        </w:rPr>
        <w:t xml:space="preserve">niet-opnemen van uitkeringen </w:t>
      </w:r>
      <w:r w:rsidR="099C569D" w:rsidRPr="009503A9">
        <w:rPr>
          <w:lang w:val="nl-BE"/>
        </w:rPr>
        <w:t xml:space="preserve">tegen te gaan </w:t>
      </w:r>
      <w:r w:rsidR="65432DBD" w:rsidRPr="009503A9">
        <w:rPr>
          <w:lang w:val="nl-BE"/>
        </w:rPr>
        <w:t>(</w:t>
      </w:r>
      <w:r w:rsidR="78E41FAE" w:rsidRPr="009503A9">
        <w:rPr>
          <w:lang w:val="nl-BE"/>
        </w:rPr>
        <w:t>zie advies 2024-17 en 2025-11).</w:t>
      </w:r>
    </w:p>
    <w:p w14:paraId="40466E9D" w14:textId="77777777" w:rsidR="007962A1" w:rsidRPr="009503A9" w:rsidRDefault="007962A1" w:rsidP="00DB75BE">
      <w:pPr>
        <w:jc w:val="both"/>
        <w:outlineLvl w:val="0"/>
        <w:rPr>
          <w:bCs/>
          <w:lang w:val="nl-BE"/>
        </w:rPr>
      </w:pPr>
    </w:p>
    <w:p w14:paraId="381A7155" w14:textId="0E35BBD1" w:rsidR="00971C7F" w:rsidRPr="009503A9" w:rsidRDefault="00E45D1B" w:rsidP="00A43707">
      <w:pPr>
        <w:jc w:val="both"/>
        <w:outlineLvl w:val="0"/>
        <w:rPr>
          <w:bCs/>
          <w:lang w:val="nl-BE"/>
        </w:rPr>
      </w:pPr>
      <w:r w:rsidRPr="009503A9">
        <w:rPr>
          <w:bCs/>
          <w:lang w:val="nl-BE"/>
        </w:rPr>
        <w:t>Daarom</w:t>
      </w:r>
      <w:r w:rsidR="00A43707" w:rsidRPr="009503A9">
        <w:rPr>
          <w:bCs/>
          <w:lang w:val="nl-BE"/>
        </w:rPr>
        <w:t xml:space="preserve"> </w:t>
      </w:r>
      <w:r w:rsidR="00971C7F" w:rsidRPr="009503A9">
        <w:rPr>
          <w:bCs/>
          <w:lang w:val="nl-BE"/>
        </w:rPr>
        <w:t xml:space="preserve">hebben </w:t>
      </w:r>
      <w:r w:rsidR="00A43707" w:rsidRPr="009503A9">
        <w:rPr>
          <w:bCs/>
          <w:lang w:val="nl-BE"/>
        </w:rPr>
        <w:t xml:space="preserve">vertegenwoordigers van de CSNPH, </w:t>
      </w:r>
      <w:r w:rsidR="00971C7F" w:rsidRPr="009503A9">
        <w:rPr>
          <w:bCs/>
          <w:lang w:val="nl-BE"/>
        </w:rPr>
        <w:t xml:space="preserve">de </w:t>
      </w:r>
      <w:r w:rsidR="00A43707" w:rsidRPr="009503A9">
        <w:rPr>
          <w:bCs/>
          <w:lang w:val="nl-BE"/>
        </w:rPr>
        <w:t xml:space="preserve">Brusselse adviesraad bij de  COCOF en bij de  COCOM, de Vlaamse verenigingen (toen nog zonder adviesraad) en de Waalse adviescommissie voor personen met een handicap  </w:t>
      </w:r>
      <w:r w:rsidR="00971C7F" w:rsidRPr="009503A9">
        <w:rPr>
          <w:bCs/>
          <w:lang w:val="nl-BE"/>
        </w:rPr>
        <w:t xml:space="preserve">al </w:t>
      </w:r>
      <w:r w:rsidR="00A43707" w:rsidRPr="009503A9">
        <w:rPr>
          <w:bCs/>
          <w:lang w:val="nl-BE"/>
        </w:rPr>
        <w:t xml:space="preserve">in 2011 </w:t>
      </w:r>
      <w:r w:rsidR="00971C7F" w:rsidRPr="009503A9">
        <w:rPr>
          <w:bCs/>
          <w:lang w:val="nl-BE"/>
        </w:rPr>
        <w:t xml:space="preserve">een </w:t>
      </w:r>
      <w:proofErr w:type="spellStart"/>
      <w:r w:rsidR="00971C7F" w:rsidRPr="009503A9">
        <w:rPr>
          <w:bCs/>
          <w:lang w:val="nl-BE"/>
        </w:rPr>
        <w:t>interfederaal</w:t>
      </w:r>
      <w:proofErr w:type="spellEnd"/>
      <w:r w:rsidR="00971C7F" w:rsidRPr="009503A9">
        <w:rPr>
          <w:bCs/>
          <w:lang w:val="nl-BE"/>
        </w:rPr>
        <w:t xml:space="preserve"> adviesplatform voor personen met een handicap ("platform") opgericht</w:t>
      </w:r>
      <w:r w:rsidR="00A43707" w:rsidRPr="009503A9">
        <w:rPr>
          <w:bCs/>
          <w:lang w:val="nl-BE"/>
        </w:rPr>
        <w:t xml:space="preserve">. </w:t>
      </w:r>
    </w:p>
    <w:p w14:paraId="052831FF" w14:textId="4348553D" w:rsidR="00971C7F" w:rsidRPr="009503A9" w:rsidRDefault="00971C7F" w:rsidP="00A43707">
      <w:pPr>
        <w:jc w:val="both"/>
        <w:outlineLvl w:val="0"/>
        <w:rPr>
          <w:bCs/>
          <w:lang w:val="nl-BE"/>
        </w:rPr>
      </w:pPr>
      <w:r w:rsidRPr="009503A9">
        <w:rPr>
          <w:bCs/>
          <w:lang w:val="nl-BE"/>
        </w:rPr>
        <w:lastRenderedPageBreak/>
        <w:t>Sinds 2011 komt het platform meerdere keren per jaar bijeen met een gevarieerde agenda. Het platform brengt op verzoek adviezen uit</w:t>
      </w:r>
      <w:r w:rsidR="000B68F9" w:rsidRPr="009503A9">
        <w:rPr>
          <w:bCs/>
          <w:lang w:val="nl-BE"/>
        </w:rPr>
        <w:t xml:space="preserve"> </w:t>
      </w:r>
      <w:r w:rsidR="00DB75BE" w:rsidRPr="009503A9">
        <w:rPr>
          <w:bCs/>
          <w:lang w:val="nl-BE"/>
        </w:rPr>
        <w:t xml:space="preserve">en </w:t>
      </w:r>
      <w:r w:rsidRPr="009503A9">
        <w:rPr>
          <w:bCs/>
          <w:lang w:val="nl-BE"/>
        </w:rPr>
        <w:t xml:space="preserve">spreekt de verschillende overheidsniveaus aan. Het platform werkt ook actief mee aan </w:t>
      </w:r>
      <w:hyperlink r:id="rId18" w:history="1">
        <w:r w:rsidRPr="009503A9">
          <w:rPr>
            <w:rStyle w:val="Hyperlink"/>
            <w:bCs/>
            <w:lang w:val="nl-BE"/>
          </w:rPr>
          <w:t>alternatieve rapporten</w:t>
        </w:r>
      </w:hyperlink>
      <w:r w:rsidRPr="009503A9">
        <w:rPr>
          <w:bCs/>
          <w:lang w:val="nl-BE"/>
        </w:rPr>
        <w:t xml:space="preserve"> over de uitvoering van het UNCRPD.</w:t>
      </w:r>
    </w:p>
    <w:p w14:paraId="4FC5AF7F" w14:textId="3E7302CA" w:rsidR="007E4884" w:rsidRPr="009503A9" w:rsidRDefault="007E4884" w:rsidP="00A43707">
      <w:pPr>
        <w:jc w:val="both"/>
        <w:outlineLvl w:val="0"/>
        <w:rPr>
          <w:bCs/>
          <w:lang w:val="nl-BE"/>
        </w:rPr>
      </w:pPr>
      <w:r w:rsidRPr="009503A9">
        <w:rPr>
          <w:bCs/>
          <w:lang w:val="nl-BE"/>
        </w:rPr>
        <w:t>S</w:t>
      </w:r>
      <w:r w:rsidR="001116D2" w:rsidRPr="009503A9">
        <w:rPr>
          <w:bCs/>
          <w:lang w:val="nl-BE"/>
        </w:rPr>
        <w:t>inds</w:t>
      </w:r>
      <w:r w:rsidRPr="009503A9">
        <w:rPr>
          <w:bCs/>
          <w:lang w:val="nl-BE"/>
        </w:rPr>
        <w:t xml:space="preserve"> 2023 </w:t>
      </w:r>
      <w:r w:rsidR="001116D2" w:rsidRPr="009503A9">
        <w:rPr>
          <w:b/>
          <w:lang w:val="nl-BE"/>
        </w:rPr>
        <w:t xml:space="preserve">vraagt </w:t>
      </w:r>
      <w:r w:rsidR="00DB75BE" w:rsidRPr="009503A9">
        <w:rPr>
          <w:b/>
          <w:lang w:val="nl-BE"/>
        </w:rPr>
        <w:t xml:space="preserve">de CIM Handicap zelf </w:t>
      </w:r>
      <w:r w:rsidR="001116D2" w:rsidRPr="009503A9">
        <w:rPr>
          <w:b/>
          <w:lang w:val="nl-BE"/>
        </w:rPr>
        <w:t xml:space="preserve">advies </w:t>
      </w:r>
      <w:r w:rsidR="001116D2" w:rsidRPr="009503A9">
        <w:rPr>
          <w:bCs/>
          <w:lang w:val="nl-BE"/>
        </w:rPr>
        <w:t xml:space="preserve">aan het </w:t>
      </w:r>
      <w:r w:rsidRPr="009503A9">
        <w:rPr>
          <w:bCs/>
          <w:lang w:val="nl-BE"/>
        </w:rPr>
        <w:t xml:space="preserve">platform over verschillende thema's: planning van prioriteiten </w:t>
      </w:r>
      <w:r w:rsidR="00DB75BE" w:rsidRPr="009503A9">
        <w:rPr>
          <w:bCs/>
          <w:lang w:val="nl-BE"/>
        </w:rPr>
        <w:t>op het gebied van handicaps</w:t>
      </w:r>
      <w:r w:rsidRPr="009503A9">
        <w:rPr>
          <w:bCs/>
          <w:lang w:val="nl-BE"/>
        </w:rPr>
        <w:t>, werkgelegenheid, mobiliteit en toegankelijkheid</w:t>
      </w:r>
      <w:r w:rsidR="001116D2" w:rsidRPr="009503A9">
        <w:rPr>
          <w:bCs/>
          <w:lang w:val="nl-BE"/>
        </w:rPr>
        <w:t xml:space="preserve">, enz. </w:t>
      </w:r>
      <w:r w:rsidR="00813B80" w:rsidRPr="009503A9">
        <w:rPr>
          <w:bCs/>
          <w:lang w:val="nl-BE"/>
        </w:rPr>
        <w:t xml:space="preserve">De </w:t>
      </w:r>
      <w:r w:rsidR="00DB75BE" w:rsidRPr="009503A9">
        <w:rPr>
          <w:bCs/>
          <w:lang w:val="nl-BE"/>
        </w:rPr>
        <w:t xml:space="preserve">politiek zelf </w:t>
      </w:r>
      <w:r w:rsidR="00813B80" w:rsidRPr="009503A9">
        <w:rPr>
          <w:bCs/>
          <w:lang w:val="nl-BE"/>
        </w:rPr>
        <w:t xml:space="preserve">benadrukt dus </w:t>
      </w:r>
      <w:r w:rsidR="001116D2" w:rsidRPr="009503A9">
        <w:rPr>
          <w:bCs/>
          <w:lang w:val="nl-BE"/>
        </w:rPr>
        <w:t xml:space="preserve">de noodzaak van een globale en geïntegreerde aanpak </w:t>
      </w:r>
      <w:r w:rsidR="00DB75BE" w:rsidRPr="009503A9">
        <w:rPr>
          <w:bCs/>
          <w:lang w:val="nl-BE"/>
        </w:rPr>
        <w:t xml:space="preserve">van handicaps en van de mogelijkheid om te kunnen steunen op de expertise van alle adviesraden, </w:t>
      </w:r>
      <w:r w:rsidR="00813B80" w:rsidRPr="009503A9">
        <w:rPr>
          <w:bCs/>
          <w:lang w:val="nl-BE"/>
        </w:rPr>
        <w:t>met name via adviezen die worden gevraagd aan de CIM Handicap.</w:t>
      </w:r>
    </w:p>
    <w:p w14:paraId="12C164B4" w14:textId="77777777" w:rsidR="007E4884" w:rsidRPr="009503A9" w:rsidRDefault="007E4884" w:rsidP="00A43707">
      <w:pPr>
        <w:jc w:val="both"/>
        <w:outlineLvl w:val="0"/>
        <w:rPr>
          <w:bCs/>
          <w:lang w:val="nl-BE"/>
        </w:rPr>
      </w:pPr>
    </w:p>
    <w:p w14:paraId="78411C86" w14:textId="53F29D9C" w:rsidR="007E4884" w:rsidRPr="009503A9" w:rsidRDefault="007E4884" w:rsidP="00A43707">
      <w:pPr>
        <w:jc w:val="both"/>
        <w:outlineLvl w:val="0"/>
        <w:rPr>
          <w:bCs/>
          <w:lang w:val="nl-BE"/>
        </w:rPr>
      </w:pPr>
      <w:r w:rsidRPr="009503A9">
        <w:rPr>
          <w:b/>
          <w:lang w:val="nl-BE"/>
        </w:rPr>
        <w:t xml:space="preserve">De werksituatie </w:t>
      </w:r>
      <w:r w:rsidR="00DB75BE" w:rsidRPr="009503A9">
        <w:rPr>
          <w:b/>
          <w:lang w:val="nl-BE"/>
        </w:rPr>
        <w:t xml:space="preserve">van het platform </w:t>
      </w:r>
      <w:r w:rsidRPr="009503A9">
        <w:rPr>
          <w:b/>
          <w:lang w:val="nl-BE"/>
        </w:rPr>
        <w:t xml:space="preserve">is echter </w:t>
      </w:r>
      <w:r w:rsidR="001116D2" w:rsidRPr="009503A9">
        <w:rPr>
          <w:b/>
          <w:lang w:val="nl-BE"/>
        </w:rPr>
        <w:t xml:space="preserve">gecompliceerd </w:t>
      </w:r>
      <w:r w:rsidR="001116D2" w:rsidRPr="009503A9">
        <w:rPr>
          <w:bCs/>
          <w:lang w:val="nl-BE"/>
        </w:rPr>
        <w:t xml:space="preserve">omdat </w:t>
      </w:r>
    </w:p>
    <w:p w14:paraId="7A2E15F5" w14:textId="550D5655" w:rsidR="00DB75BE" w:rsidRPr="009503A9" w:rsidRDefault="00DB75BE" w:rsidP="00E06F4D">
      <w:pPr>
        <w:pStyle w:val="Lijstalinea"/>
        <w:numPr>
          <w:ilvl w:val="0"/>
          <w:numId w:val="15"/>
        </w:numPr>
        <w:jc w:val="both"/>
        <w:outlineLvl w:val="0"/>
        <w:rPr>
          <w:bCs/>
          <w:lang w:val="nl-BE"/>
        </w:rPr>
      </w:pPr>
      <w:r w:rsidRPr="009503A9">
        <w:rPr>
          <w:bCs/>
          <w:lang w:val="nl-BE"/>
        </w:rPr>
        <w:t xml:space="preserve">het platform </w:t>
      </w:r>
      <w:r w:rsidRPr="009503A9">
        <w:rPr>
          <w:b/>
          <w:lang w:val="nl-BE"/>
        </w:rPr>
        <w:t xml:space="preserve">geen </w:t>
      </w:r>
      <w:r w:rsidRPr="009503A9">
        <w:rPr>
          <w:bCs/>
          <w:lang w:val="nl-BE"/>
        </w:rPr>
        <w:t xml:space="preserve">rechtspersoonlijkheid heeft en </w:t>
      </w:r>
      <w:r w:rsidR="001116D2" w:rsidRPr="009503A9">
        <w:rPr>
          <w:bCs/>
          <w:lang w:val="nl-BE"/>
        </w:rPr>
        <w:t>niet</w:t>
      </w:r>
      <w:r w:rsidRPr="009503A9">
        <w:rPr>
          <w:bCs/>
          <w:lang w:val="nl-BE"/>
        </w:rPr>
        <w:t xml:space="preserve"> over eigen middelen beschikt: </w:t>
      </w:r>
      <w:r w:rsidR="001116D2" w:rsidRPr="009503A9">
        <w:rPr>
          <w:bCs/>
          <w:lang w:val="nl-BE"/>
        </w:rPr>
        <w:t xml:space="preserve">er is geen secretariaat verbonden aan het platform </w:t>
      </w:r>
    </w:p>
    <w:p w14:paraId="36E1D5E1" w14:textId="77777777" w:rsidR="00813B80" w:rsidRPr="009503A9" w:rsidRDefault="00813B80" w:rsidP="00813B80">
      <w:pPr>
        <w:pStyle w:val="Lijstalinea"/>
        <w:numPr>
          <w:ilvl w:val="0"/>
          <w:numId w:val="15"/>
        </w:numPr>
        <w:jc w:val="both"/>
        <w:outlineLvl w:val="0"/>
        <w:rPr>
          <w:bCs/>
          <w:lang w:val="nl-BE"/>
        </w:rPr>
      </w:pPr>
      <w:r w:rsidRPr="009503A9">
        <w:rPr>
          <w:bCs/>
          <w:lang w:val="nl-BE"/>
        </w:rPr>
        <w:t xml:space="preserve">De adviesraden zijn bevoegd om adviezen uit te brengen op hun </w:t>
      </w:r>
      <w:r w:rsidRPr="009503A9">
        <w:rPr>
          <w:b/>
          <w:lang w:val="nl-BE"/>
        </w:rPr>
        <w:t>respectieve</w:t>
      </w:r>
      <w:r w:rsidRPr="009503A9">
        <w:rPr>
          <w:bCs/>
          <w:lang w:val="nl-BE"/>
        </w:rPr>
        <w:t xml:space="preserve"> materiële en territoriale bevoegdheidsgebieden</w:t>
      </w:r>
      <w:r w:rsidRPr="009503A9">
        <w:rPr>
          <w:b/>
          <w:lang w:val="nl-BE"/>
        </w:rPr>
        <w:t xml:space="preserve"> </w:t>
      </w:r>
    </w:p>
    <w:p w14:paraId="3E7F179C" w14:textId="7318CC36" w:rsidR="00521E2B" w:rsidRPr="009503A9" w:rsidRDefault="001116D2" w:rsidP="00E06F4D">
      <w:pPr>
        <w:pStyle w:val="Lijstalinea"/>
        <w:numPr>
          <w:ilvl w:val="0"/>
          <w:numId w:val="15"/>
        </w:numPr>
        <w:jc w:val="both"/>
        <w:outlineLvl w:val="0"/>
        <w:rPr>
          <w:bCs/>
          <w:lang w:val="nl-BE"/>
        </w:rPr>
      </w:pPr>
      <w:r w:rsidRPr="009503A9">
        <w:rPr>
          <w:bCs/>
          <w:lang w:val="nl-BE"/>
        </w:rPr>
        <w:t xml:space="preserve">Het secretariaat van de CSNPH neemt gewoonlijk de organisatie van de vergaderingen en het schrijfwerk voor </w:t>
      </w:r>
      <w:r w:rsidR="00521E2B" w:rsidRPr="009503A9">
        <w:rPr>
          <w:bCs/>
          <w:lang w:val="nl-BE"/>
        </w:rPr>
        <w:t xml:space="preserve">het </w:t>
      </w:r>
      <w:r w:rsidR="00DB75BE" w:rsidRPr="009503A9">
        <w:rPr>
          <w:bCs/>
          <w:lang w:val="nl-BE"/>
        </w:rPr>
        <w:t xml:space="preserve">opstellen </w:t>
      </w:r>
      <w:r w:rsidR="00521E2B" w:rsidRPr="009503A9">
        <w:rPr>
          <w:bCs/>
          <w:lang w:val="nl-BE"/>
        </w:rPr>
        <w:t xml:space="preserve">van </w:t>
      </w:r>
      <w:r w:rsidRPr="009503A9">
        <w:rPr>
          <w:bCs/>
          <w:lang w:val="nl-BE"/>
        </w:rPr>
        <w:t>het advies voor zijn rekening</w:t>
      </w:r>
      <w:r w:rsidR="00521E2B" w:rsidRPr="009503A9">
        <w:rPr>
          <w:bCs/>
          <w:lang w:val="nl-BE"/>
        </w:rPr>
        <w:t>; andere raden beginnen dit ook te doen</w:t>
      </w:r>
      <w:r w:rsidR="00813B80" w:rsidRPr="009503A9">
        <w:rPr>
          <w:bCs/>
          <w:lang w:val="nl-BE"/>
        </w:rPr>
        <w:t>.</w:t>
      </w:r>
    </w:p>
    <w:p w14:paraId="4B284A66" w14:textId="77777777" w:rsidR="00DB75BE" w:rsidRPr="009503A9" w:rsidRDefault="00DB75BE" w:rsidP="00521E2B">
      <w:pPr>
        <w:pStyle w:val="Lijstalinea"/>
        <w:numPr>
          <w:ilvl w:val="1"/>
          <w:numId w:val="15"/>
        </w:numPr>
        <w:jc w:val="both"/>
        <w:outlineLvl w:val="0"/>
        <w:rPr>
          <w:bCs/>
          <w:lang w:val="nl-BE"/>
        </w:rPr>
      </w:pPr>
      <w:proofErr w:type="spellStart"/>
      <w:r w:rsidRPr="009503A9">
        <w:rPr>
          <w:bCs/>
          <w:lang w:val="nl-BE"/>
        </w:rPr>
        <w:t>interfederale</w:t>
      </w:r>
      <w:proofErr w:type="spellEnd"/>
      <w:r w:rsidRPr="009503A9">
        <w:rPr>
          <w:bCs/>
          <w:lang w:val="nl-BE"/>
        </w:rPr>
        <w:t xml:space="preserve"> adviezen zijn complexer en energieverslindend </w:t>
      </w:r>
    </w:p>
    <w:p w14:paraId="7CB5CEA8" w14:textId="5F8ADE4B" w:rsidR="00EE5740" w:rsidRPr="009503A9" w:rsidRDefault="00DB75BE" w:rsidP="0019599C">
      <w:pPr>
        <w:pStyle w:val="Lijstalinea"/>
        <w:numPr>
          <w:ilvl w:val="1"/>
          <w:numId w:val="15"/>
        </w:numPr>
        <w:jc w:val="both"/>
        <w:outlineLvl w:val="0"/>
        <w:rPr>
          <w:bCs/>
          <w:lang w:val="nl-BE"/>
        </w:rPr>
      </w:pPr>
      <w:r w:rsidRPr="009503A9">
        <w:rPr>
          <w:bCs/>
          <w:lang w:val="nl-BE"/>
        </w:rPr>
        <w:t xml:space="preserve">Deze integratie vereist </w:t>
      </w:r>
      <w:r w:rsidR="00525F3C" w:rsidRPr="009503A9">
        <w:rPr>
          <w:bCs/>
          <w:lang w:val="nl-BE"/>
        </w:rPr>
        <w:t>een aanzienlijke investering van het secretariaat van elke adviesraad, maar ook van de leden van elke adviesraad</w:t>
      </w:r>
    </w:p>
    <w:p w14:paraId="765740E4" w14:textId="77777777" w:rsidR="00EE5740" w:rsidRPr="009503A9" w:rsidRDefault="00DB75BE" w:rsidP="00EE5740">
      <w:pPr>
        <w:pStyle w:val="Lijstalinea"/>
        <w:numPr>
          <w:ilvl w:val="2"/>
          <w:numId w:val="15"/>
        </w:numPr>
        <w:jc w:val="both"/>
        <w:outlineLvl w:val="0"/>
        <w:rPr>
          <w:bCs/>
          <w:lang w:val="nl-BE"/>
        </w:rPr>
      </w:pPr>
      <w:r w:rsidRPr="009503A9">
        <w:rPr>
          <w:bCs/>
          <w:lang w:val="nl-BE"/>
        </w:rPr>
        <w:t xml:space="preserve">een </w:t>
      </w:r>
      <w:r w:rsidR="00EE5740" w:rsidRPr="009503A9">
        <w:rPr>
          <w:bCs/>
          <w:lang w:val="nl-BE"/>
        </w:rPr>
        <w:t xml:space="preserve">aanzienlijke </w:t>
      </w:r>
      <w:r w:rsidRPr="009503A9">
        <w:rPr>
          <w:bCs/>
          <w:lang w:val="nl-BE"/>
        </w:rPr>
        <w:t xml:space="preserve">analyse </w:t>
      </w:r>
      <w:r w:rsidR="00EE5740" w:rsidRPr="009503A9">
        <w:rPr>
          <w:bCs/>
          <w:lang w:val="nl-BE"/>
        </w:rPr>
        <w:t>(situatie in elke entiteit vanuit regelgevend oogpunt, uitdagingen, enz.)</w:t>
      </w:r>
      <w:r w:rsidRPr="009503A9">
        <w:rPr>
          <w:bCs/>
          <w:lang w:val="nl-BE"/>
        </w:rPr>
        <w:t>,</w:t>
      </w:r>
    </w:p>
    <w:p w14:paraId="0E00DE5A" w14:textId="3CE92BB9" w:rsidR="00EE5740" w:rsidRPr="009503A9" w:rsidRDefault="00DB75BE" w:rsidP="00EE5740">
      <w:pPr>
        <w:pStyle w:val="Lijstalinea"/>
        <w:numPr>
          <w:ilvl w:val="2"/>
          <w:numId w:val="15"/>
        </w:numPr>
        <w:jc w:val="both"/>
        <w:outlineLvl w:val="0"/>
        <w:rPr>
          <w:bCs/>
          <w:lang w:val="nl-BE"/>
        </w:rPr>
      </w:pPr>
      <w:r w:rsidRPr="009503A9">
        <w:rPr>
          <w:bCs/>
          <w:lang w:val="nl-BE"/>
        </w:rPr>
        <w:t xml:space="preserve">het organiseren van vergaderingen </w:t>
      </w:r>
      <w:r w:rsidR="00EE5740" w:rsidRPr="009503A9">
        <w:rPr>
          <w:bCs/>
          <w:lang w:val="nl-BE"/>
        </w:rPr>
        <w:t>– soms meerdere</w:t>
      </w:r>
      <w:r w:rsidR="00525F3C" w:rsidRPr="009503A9">
        <w:rPr>
          <w:bCs/>
          <w:lang w:val="nl-BE"/>
        </w:rPr>
        <w:t>,</w:t>
      </w:r>
    </w:p>
    <w:p w14:paraId="361E9D95" w14:textId="61552AB4" w:rsidR="00525F3C" w:rsidRPr="009503A9" w:rsidRDefault="00EE5740" w:rsidP="00EE5740">
      <w:pPr>
        <w:pStyle w:val="Lijstalinea"/>
        <w:numPr>
          <w:ilvl w:val="2"/>
          <w:numId w:val="15"/>
        </w:numPr>
        <w:jc w:val="both"/>
        <w:outlineLvl w:val="0"/>
        <w:rPr>
          <w:bCs/>
          <w:lang w:val="nl-BE"/>
        </w:rPr>
      </w:pPr>
      <w:r w:rsidRPr="009503A9">
        <w:rPr>
          <w:bCs/>
          <w:lang w:val="nl-BE"/>
        </w:rPr>
        <w:t xml:space="preserve">een zeer belangrijke geïntegreerde </w:t>
      </w:r>
      <w:r w:rsidR="00DB75BE" w:rsidRPr="009503A9">
        <w:rPr>
          <w:bCs/>
          <w:lang w:val="nl-BE"/>
        </w:rPr>
        <w:t xml:space="preserve">schrijfoefening </w:t>
      </w:r>
      <w:r w:rsidRPr="009503A9">
        <w:rPr>
          <w:bCs/>
          <w:lang w:val="nl-BE"/>
        </w:rPr>
        <w:t xml:space="preserve">voor het </w:t>
      </w:r>
      <w:r w:rsidR="00525F3C" w:rsidRPr="009503A9">
        <w:rPr>
          <w:bCs/>
          <w:lang w:val="nl-BE"/>
        </w:rPr>
        <w:t xml:space="preserve">secretariaat dat verantwoordelijk is voor de definitieve tekst, </w:t>
      </w:r>
    </w:p>
    <w:p w14:paraId="527A67B3" w14:textId="3DDA1D1B" w:rsidR="00525F3C" w:rsidRPr="009503A9" w:rsidRDefault="00525F3C" w:rsidP="00EE5740">
      <w:pPr>
        <w:pStyle w:val="Lijstalinea"/>
        <w:numPr>
          <w:ilvl w:val="2"/>
          <w:numId w:val="15"/>
        </w:numPr>
        <w:jc w:val="both"/>
        <w:outlineLvl w:val="0"/>
        <w:rPr>
          <w:bCs/>
          <w:lang w:val="nl-BE"/>
        </w:rPr>
      </w:pPr>
      <w:r w:rsidRPr="009503A9">
        <w:rPr>
          <w:bCs/>
          <w:lang w:val="nl-BE"/>
        </w:rPr>
        <w:t xml:space="preserve">een werklast in verband met deelname en lezen voor </w:t>
      </w:r>
      <w:r w:rsidR="00DB75BE" w:rsidRPr="009503A9">
        <w:rPr>
          <w:bCs/>
          <w:lang w:val="nl-BE"/>
        </w:rPr>
        <w:t xml:space="preserve"> de leden </w:t>
      </w:r>
      <w:r w:rsidR="002736F2" w:rsidRPr="009503A9">
        <w:rPr>
          <w:bCs/>
          <w:lang w:val="nl-BE"/>
        </w:rPr>
        <w:t xml:space="preserve">zelf </w:t>
      </w:r>
      <w:r w:rsidR="00DB75BE" w:rsidRPr="009503A9">
        <w:rPr>
          <w:bCs/>
          <w:lang w:val="nl-BE"/>
        </w:rPr>
        <w:t>in de adviesraden</w:t>
      </w:r>
      <w:r w:rsidRPr="009503A9">
        <w:rPr>
          <w:bCs/>
          <w:lang w:val="nl-BE"/>
        </w:rPr>
        <w:t xml:space="preserve">, </w:t>
      </w:r>
    </w:p>
    <w:p w14:paraId="33B7589E" w14:textId="38273072" w:rsidR="001116D2" w:rsidRPr="009503A9" w:rsidRDefault="00521E2B" w:rsidP="00EE5740">
      <w:pPr>
        <w:pStyle w:val="Lijstalinea"/>
        <w:numPr>
          <w:ilvl w:val="2"/>
          <w:numId w:val="15"/>
        </w:numPr>
        <w:jc w:val="both"/>
        <w:outlineLvl w:val="0"/>
        <w:rPr>
          <w:bCs/>
          <w:lang w:val="nl-BE"/>
        </w:rPr>
      </w:pPr>
      <w:r w:rsidRPr="009503A9">
        <w:rPr>
          <w:bCs/>
          <w:lang w:val="nl-BE"/>
        </w:rPr>
        <w:t>voor elk secretariaat en elke adviesraad betekent dit extra werktijd bovenop de wettelijke taken</w:t>
      </w:r>
    </w:p>
    <w:p w14:paraId="16F7D3D4" w14:textId="577B941E" w:rsidR="00521E2B" w:rsidRPr="009503A9" w:rsidRDefault="00521E2B" w:rsidP="60561B5A">
      <w:pPr>
        <w:pStyle w:val="Lijstalinea"/>
        <w:numPr>
          <w:ilvl w:val="1"/>
          <w:numId w:val="15"/>
        </w:numPr>
        <w:jc w:val="both"/>
        <w:outlineLvl w:val="0"/>
        <w:rPr>
          <w:b/>
          <w:bCs/>
          <w:lang w:val="nl-BE"/>
        </w:rPr>
      </w:pPr>
      <w:r w:rsidRPr="009503A9">
        <w:rPr>
          <w:lang w:val="nl-BE"/>
        </w:rPr>
        <w:t>De secretariaten van de bestaande raden hebben soms een zeer beperkte personeelsbezetting</w:t>
      </w:r>
      <w:r w:rsidR="00DB75BE" w:rsidRPr="009503A9">
        <w:rPr>
          <w:lang w:val="nl-BE"/>
        </w:rPr>
        <w:t xml:space="preserve">, waardoor </w:t>
      </w:r>
      <w:r w:rsidR="00DB75BE" w:rsidRPr="009503A9">
        <w:rPr>
          <w:b/>
          <w:bCs/>
          <w:lang w:val="nl-BE"/>
        </w:rPr>
        <w:t xml:space="preserve">zij </w:t>
      </w:r>
      <w:r w:rsidR="00525F3C" w:rsidRPr="009503A9">
        <w:rPr>
          <w:b/>
          <w:bCs/>
          <w:lang w:val="nl-BE"/>
        </w:rPr>
        <w:t xml:space="preserve">voor het overgrote deel  hun </w:t>
      </w:r>
      <w:r w:rsidR="00DB75BE" w:rsidRPr="009503A9">
        <w:rPr>
          <w:b/>
          <w:bCs/>
          <w:lang w:val="nl-BE"/>
        </w:rPr>
        <w:t>basistaken niet kunnen uitvoeren</w:t>
      </w:r>
      <w:r w:rsidR="00525F3C" w:rsidRPr="009503A9">
        <w:rPr>
          <w:b/>
          <w:bCs/>
          <w:lang w:val="nl-BE"/>
        </w:rPr>
        <w:t>.</w:t>
      </w:r>
    </w:p>
    <w:p w14:paraId="3CD20338" w14:textId="5358F586" w:rsidR="00ED776B" w:rsidRPr="009503A9" w:rsidRDefault="00ED776B" w:rsidP="00ED776B">
      <w:pPr>
        <w:jc w:val="both"/>
        <w:outlineLvl w:val="0"/>
        <w:rPr>
          <w:bCs/>
          <w:lang w:val="nl-BE"/>
        </w:rPr>
      </w:pPr>
    </w:p>
    <w:p w14:paraId="247A0FD8" w14:textId="77777777" w:rsidR="002653C4" w:rsidRPr="009503A9" w:rsidRDefault="002653C4" w:rsidP="00ED776B">
      <w:pPr>
        <w:jc w:val="both"/>
        <w:outlineLvl w:val="0"/>
        <w:rPr>
          <w:bCs/>
          <w:lang w:val="nl-BE"/>
        </w:rPr>
      </w:pPr>
    </w:p>
    <w:p w14:paraId="15D5115F" w14:textId="77777777" w:rsidR="00364805" w:rsidRPr="009503A9" w:rsidRDefault="00364805" w:rsidP="00AB74EE">
      <w:pPr>
        <w:jc w:val="both"/>
        <w:outlineLvl w:val="0"/>
        <w:rPr>
          <w:b/>
          <w:u w:val="single"/>
          <w:lang w:val="nl-BE"/>
        </w:rPr>
      </w:pPr>
    </w:p>
    <w:p w14:paraId="428D3A16" w14:textId="77777777" w:rsidR="00267DCF" w:rsidRPr="00267DCF" w:rsidRDefault="00267DCF" w:rsidP="0073760D">
      <w:pPr>
        <w:numPr>
          <w:ilvl w:val="0"/>
          <w:numId w:val="2"/>
        </w:numPr>
        <w:jc w:val="both"/>
        <w:outlineLvl w:val="0"/>
        <w:rPr>
          <w:b/>
        </w:rPr>
      </w:pPr>
      <w:r>
        <w:rPr>
          <w:b/>
          <w:u w:val="single"/>
        </w:rPr>
        <w:t xml:space="preserve">ADVIES </w:t>
      </w:r>
    </w:p>
    <w:p w14:paraId="3EFA2B65" w14:textId="77777777" w:rsidR="00267DCF" w:rsidRDefault="00267DCF" w:rsidP="00267DCF">
      <w:pPr>
        <w:jc w:val="both"/>
        <w:rPr>
          <w:b/>
          <w:u w:val="single"/>
        </w:rPr>
      </w:pPr>
    </w:p>
    <w:p w14:paraId="161A4488" w14:textId="13326645" w:rsidR="00583E54" w:rsidRPr="009503A9" w:rsidRDefault="00583E54" w:rsidP="00813B80">
      <w:pPr>
        <w:ind w:left="720"/>
        <w:jc w:val="both"/>
        <w:rPr>
          <w:szCs w:val="22"/>
          <w:lang w:val="nl-BE"/>
        </w:rPr>
      </w:pPr>
      <w:r w:rsidRPr="009503A9">
        <w:rPr>
          <w:szCs w:val="22"/>
          <w:lang w:val="nl-BE"/>
        </w:rPr>
        <w:t xml:space="preserve">Het platform en ook de CIM Handicap erkennen </w:t>
      </w:r>
      <w:r w:rsidRPr="009503A9">
        <w:rPr>
          <w:b/>
          <w:bCs/>
          <w:szCs w:val="22"/>
          <w:lang w:val="nl-BE"/>
        </w:rPr>
        <w:t xml:space="preserve">de noodzaak </w:t>
      </w:r>
      <w:r w:rsidRPr="009503A9">
        <w:rPr>
          <w:szCs w:val="22"/>
          <w:lang w:val="nl-BE"/>
        </w:rPr>
        <w:t>om op transversale wijze in verschillende bevoegdheidsdomeinen te investeren.</w:t>
      </w:r>
    </w:p>
    <w:p w14:paraId="5DD84B6A" w14:textId="77777777" w:rsidR="00583E54" w:rsidRPr="009503A9" w:rsidRDefault="00583E54" w:rsidP="00813B80">
      <w:pPr>
        <w:ind w:left="720"/>
        <w:jc w:val="both"/>
        <w:rPr>
          <w:szCs w:val="22"/>
          <w:lang w:val="nl-BE"/>
        </w:rPr>
      </w:pPr>
    </w:p>
    <w:p w14:paraId="100C1F79" w14:textId="14E1E0AF" w:rsidR="004E7BCC" w:rsidRPr="009503A9" w:rsidRDefault="004E7BCC" w:rsidP="00813B80">
      <w:pPr>
        <w:ind w:left="720"/>
        <w:jc w:val="both"/>
        <w:rPr>
          <w:szCs w:val="22"/>
          <w:lang w:val="nl-BE"/>
        </w:rPr>
      </w:pPr>
      <w:r w:rsidRPr="009503A9">
        <w:rPr>
          <w:szCs w:val="22"/>
          <w:lang w:val="nl-BE"/>
        </w:rPr>
        <w:t xml:space="preserve">Gezien </w:t>
      </w:r>
      <w:r w:rsidR="00813B80" w:rsidRPr="009503A9">
        <w:rPr>
          <w:b/>
          <w:bCs/>
          <w:szCs w:val="22"/>
          <w:lang w:val="nl-BE"/>
        </w:rPr>
        <w:t xml:space="preserve">de politieke verwachting </w:t>
      </w:r>
      <w:r w:rsidR="00525F3C" w:rsidRPr="009503A9">
        <w:rPr>
          <w:b/>
          <w:bCs/>
          <w:szCs w:val="22"/>
          <w:lang w:val="nl-BE"/>
        </w:rPr>
        <w:t xml:space="preserve">van de CIM Handicap </w:t>
      </w:r>
      <w:r w:rsidR="00813B80" w:rsidRPr="009503A9">
        <w:rPr>
          <w:szCs w:val="22"/>
          <w:lang w:val="nl-BE"/>
        </w:rPr>
        <w:t xml:space="preserve">om te kunnen steunen op geïntegreerde adviezen die </w:t>
      </w:r>
      <w:r w:rsidRPr="009503A9">
        <w:rPr>
          <w:szCs w:val="22"/>
          <w:lang w:val="nl-BE"/>
        </w:rPr>
        <w:t>worden ondersteund door alle adviesraden voor personen met een handicap in de federale en gefedereerde entiteiten van België</w:t>
      </w:r>
      <w:r w:rsidR="00525F3C" w:rsidRPr="009503A9">
        <w:rPr>
          <w:szCs w:val="22"/>
          <w:lang w:val="nl-BE"/>
        </w:rPr>
        <w:t xml:space="preserve">, </w:t>
      </w:r>
    </w:p>
    <w:p w14:paraId="3AED5492" w14:textId="77777777" w:rsidR="00525F3C" w:rsidRPr="009503A9" w:rsidRDefault="00525F3C" w:rsidP="00813B80">
      <w:pPr>
        <w:ind w:left="720"/>
        <w:jc w:val="both"/>
        <w:rPr>
          <w:szCs w:val="22"/>
          <w:lang w:val="nl-BE"/>
        </w:rPr>
      </w:pPr>
    </w:p>
    <w:p w14:paraId="7D195C61" w14:textId="58844B50" w:rsidR="002736F2" w:rsidRPr="009503A9" w:rsidRDefault="004E7BCC" w:rsidP="002736F2">
      <w:pPr>
        <w:pStyle w:val="Lijstalinea"/>
        <w:numPr>
          <w:ilvl w:val="0"/>
          <w:numId w:val="19"/>
        </w:numPr>
        <w:jc w:val="both"/>
        <w:rPr>
          <w:b/>
          <w:bCs/>
          <w:szCs w:val="22"/>
          <w:lang w:val="nl-BE"/>
        </w:rPr>
      </w:pPr>
      <w:r w:rsidRPr="009503A9">
        <w:rPr>
          <w:szCs w:val="22"/>
          <w:lang w:val="nl-BE"/>
        </w:rPr>
        <w:lastRenderedPageBreak/>
        <w:t xml:space="preserve">vraagt het platform dat </w:t>
      </w:r>
      <w:r w:rsidRPr="009503A9">
        <w:rPr>
          <w:b/>
          <w:bCs/>
          <w:szCs w:val="22"/>
          <w:lang w:val="nl-BE"/>
        </w:rPr>
        <w:t xml:space="preserve">op de agenda van de volgende CIM Handicap </w:t>
      </w:r>
      <w:r w:rsidR="00525F3C" w:rsidRPr="009503A9">
        <w:rPr>
          <w:b/>
          <w:bCs/>
          <w:szCs w:val="22"/>
          <w:lang w:val="nl-BE"/>
        </w:rPr>
        <w:t>prioriteit</w:t>
      </w:r>
      <w:r w:rsidRPr="009503A9">
        <w:rPr>
          <w:szCs w:val="22"/>
          <w:lang w:val="nl-BE"/>
        </w:rPr>
        <w:t xml:space="preserve"> wordt gegeven </w:t>
      </w:r>
      <w:r w:rsidR="00525F3C" w:rsidRPr="009503A9">
        <w:rPr>
          <w:b/>
          <w:bCs/>
          <w:szCs w:val="22"/>
          <w:lang w:val="nl-BE"/>
        </w:rPr>
        <w:t xml:space="preserve">aan </w:t>
      </w:r>
      <w:r w:rsidRPr="009503A9">
        <w:rPr>
          <w:b/>
          <w:bCs/>
          <w:szCs w:val="22"/>
          <w:lang w:val="nl-BE"/>
        </w:rPr>
        <w:t xml:space="preserve"> de noodzaak om het platform </w:t>
      </w:r>
    </w:p>
    <w:p w14:paraId="64DA300C" w14:textId="77777777" w:rsidR="007962A1" w:rsidRPr="009503A9" w:rsidRDefault="007962A1" w:rsidP="007962A1">
      <w:pPr>
        <w:pStyle w:val="Lijstalinea"/>
        <w:ind w:left="1080"/>
        <w:jc w:val="both"/>
        <w:rPr>
          <w:b/>
          <w:bCs/>
          <w:szCs w:val="22"/>
          <w:lang w:val="nl-BE"/>
        </w:rPr>
      </w:pPr>
    </w:p>
    <w:p w14:paraId="71E91619" w14:textId="2172276F" w:rsidR="00EE5740" w:rsidRPr="009503A9" w:rsidRDefault="002736F2" w:rsidP="00EE5740">
      <w:pPr>
        <w:pStyle w:val="Lijstalinea"/>
        <w:numPr>
          <w:ilvl w:val="1"/>
          <w:numId w:val="18"/>
        </w:numPr>
        <w:jc w:val="both"/>
        <w:outlineLvl w:val="0"/>
        <w:rPr>
          <w:b/>
          <w:bCs/>
          <w:szCs w:val="22"/>
          <w:lang w:val="nl-BE"/>
        </w:rPr>
      </w:pPr>
      <w:r w:rsidRPr="009503A9">
        <w:rPr>
          <w:b/>
          <w:bCs/>
          <w:szCs w:val="22"/>
          <w:lang w:val="nl-BE"/>
        </w:rPr>
        <w:t>een exclusieve en eigen juridische status te verlenen</w:t>
      </w:r>
      <w:r w:rsidR="00EE5740" w:rsidRPr="009503A9">
        <w:rPr>
          <w:b/>
          <w:bCs/>
          <w:szCs w:val="22"/>
          <w:lang w:val="nl-BE"/>
        </w:rPr>
        <w:t xml:space="preserve">: </w:t>
      </w:r>
      <w:r w:rsidR="00525F3C" w:rsidRPr="009503A9">
        <w:rPr>
          <w:b/>
          <w:bCs/>
          <w:szCs w:val="22"/>
          <w:lang w:val="nl-BE"/>
        </w:rPr>
        <w:t xml:space="preserve">het huidige platform van adviesraden voor personen met een handicap (federaal, gefedereerde entiteiten en supranationaal) </w:t>
      </w:r>
      <w:r w:rsidR="009952CF" w:rsidRPr="009503A9">
        <w:rPr>
          <w:b/>
          <w:bCs/>
          <w:szCs w:val="22"/>
          <w:lang w:val="nl-BE"/>
        </w:rPr>
        <w:t xml:space="preserve">erkennen  als </w:t>
      </w:r>
      <w:proofErr w:type="spellStart"/>
      <w:r w:rsidR="00EE5740" w:rsidRPr="009503A9">
        <w:rPr>
          <w:b/>
          <w:bCs/>
          <w:szCs w:val="22"/>
          <w:lang w:val="nl-BE"/>
        </w:rPr>
        <w:t>interfederale</w:t>
      </w:r>
      <w:proofErr w:type="spellEnd"/>
      <w:r w:rsidR="00EE5740" w:rsidRPr="009503A9">
        <w:rPr>
          <w:b/>
          <w:bCs/>
          <w:szCs w:val="22"/>
          <w:lang w:val="nl-BE"/>
        </w:rPr>
        <w:t xml:space="preserve"> adviesraad voor personen met een handicap </w:t>
      </w:r>
      <w:r w:rsidR="00525F3C" w:rsidRPr="009503A9">
        <w:rPr>
          <w:b/>
          <w:bCs/>
          <w:szCs w:val="22"/>
          <w:lang w:val="nl-BE"/>
        </w:rPr>
        <w:t xml:space="preserve">die verbonden is met </w:t>
      </w:r>
      <w:r w:rsidR="00EE5740" w:rsidRPr="009503A9">
        <w:rPr>
          <w:b/>
          <w:bCs/>
          <w:szCs w:val="22"/>
          <w:lang w:val="nl-BE"/>
        </w:rPr>
        <w:t xml:space="preserve">de CIM Handicap, maar ook </w:t>
      </w:r>
      <w:r w:rsidR="00525F3C" w:rsidRPr="009503A9">
        <w:rPr>
          <w:b/>
          <w:bCs/>
          <w:szCs w:val="22"/>
          <w:lang w:val="nl-BE"/>
        </w:rPr>
        <w:t xml:space="preserve">met </w:t>
      </w:r>
      <w:r w:rsidR="00EE5740" w:rsidRPr="009503A9">
        <w:rPr>
          <w:b/>
          <w:bCs/>
          <w:szCs w:val="22"/>
          <w:lang w:val="nl-BE"/>
        </w:rPr>
        <w:t xml:space="preserve">de andere </w:t>
      </w:r>
      <w:proofErr w:type="spellStart"/>
      <w:r w:rsidR="00EE5740" w:rsidRPr="009503A9">
        <w:rPr>
          <w:b/>
          <w:bCs/>
          <w:szCs w:val="22"/>
          <w:lang w:val="nl-BE"/>
        </w:rPr>
        <w:t>CIM's</w:t>
      </w:r>
      <w:proofErr w:type="spellEnd"/>
      <w:r w:rsidR="00EE5740" w:rsidRPr="009503A9">
        <w:rPr>
          <w:b/>
          <w:bCs/>
          <w:szCs w:val="22"/>
          <w:lang w:val="nl-BE"/>
        </w:rPr>
        <w:t xml:space="preserve"> in het kader van </w:t>
      </w:r>
      <w:proofErr w:type="spellStart"/>
      <w:r w:rsidR="00EE5740" w:rsidRPr="009503A9">
        <w:rPr>
          <w:b/>
          <w:bCs/>
          <w:szCs w:val="22"/>
          <w:lang w:val="nl-BE"/>
        </w:rPr>
        <w:t>handistreaming</w:t>
      </w:r>
      <w:proofErr w:type="spellEnd"/>
    </w:p>
    <w:p w14:paraId="751BC4C4" w14:textId="77777777" w:rsidR="007962A1" w:rsidRPr="009503A9" w:rsidRDefault="007962A1" w:rsidP="007962A1">
      <w:pPr>
        <w:pStyle w:val="Lijstalinea"/>
        <w:ind w:left="1440"/>
        <w:jc w:val="both"/>
        <w:outlineLvl w:val="0"/>
        <w:rPr>
          <w:b/>
          <w:bCs/>
          <w:szCs w:val="22"/>
          <w:lang w:val="nl-BE"/>
        </w:rPr>
      </w:pPr>
    </w:p>
    <w:p w14:paraId="1EB29A25" w14:textId="7612E871" w:rsidR="004E7BCC" w:rsidRPr="00525F3C" w:rsidRDefault="002736F2" w:rsidP="00EE5740">
      <w:pPr>
        <w:pStyle w:val="Lijstalinea"/>
        <w:numPr>
          <w:ilvl w:val="1"/>
          <w:numId w:val="18"/>
        </w:numPr>
        <w:jc w:val="both"/>
        <w:outlineLvl w:val="0"/>
        <w:rPr>
          <w:b/>
          <w:bCs/>
          <w:szCs w:val="22"/>
        </w:rPr>
      </w:pPr>
      <w:r w:rsidRPr="00525F3C">
        <w:rPr>
          <w:b/>
          <w:bCs/>
          <w:szCs w:val="22"/>
        </w:rPr>
        <w:t xml:space="preserve">en </w:t>
      </w:r>
      <w:proofErr w:type="spellStart"/>
      <w:r w:rsidR="004E7BCC" w:rsidRPr="00525F3C">
        <w:rPr>
          <w:b/>
          <w:bCs/>
          <w:szCs w:val="22"/>
        </w:rPr>
        <w:t>een</w:t>
      </w:r>
      <w:proofErr w:type="spellEnd"/>
      <w:r w:rsidR="004E7BCC" w:rsidRPr="00525F3C">
        <w:rPr>
          <w:b/>
          <w:bCs/>
          <w:szCs w:val="22"/>
        </w:rPr>
        <w:t xml:space="preserve"> ad-</w:t>
      </w:r>
      <w:proofErr w:type="spellStart"/>
      <w:r w:rsidR="004E7BCC" w:rsidRPr="00525F3C">
        <w:rPr>
          <w:b/>
          <w:bCs/>
          <w:szCs w:val="22"/>
        </w:rPr>
        <w:t>hocsecretariaat</w:t>
      </w:r>
      <w:proofErr w:type="spellEnd"/>
      <w:r w:rsidR="004E7BCC" w:rsidRPr="00525F3C">
        <w:rPr>
          <w:b/>
          <w:bCs/>
          <w:szCs w:val="22"/>
        </w:rPr>
        <w:t xml:space="preserve">   </w:t>
      </w:r>
    </w:p>
    <w:p w14:paraId="1E8097BB" w14:textId="4A1E2F0E" w:rsidR="00434C7E" w:rsidRPr="009503A9" w:rsidRDefault="00EE5740" w:rsidP="00EE5740">
      <w:pPr>
        <w:pStyle w:val="Lijstalinea"/>
        <w:numPr>
          <w:ilvl w:val="2"/>
          <w:numId w:val="18"/>
        </w:numPr>
        <w:jc w:val="both"/>
        <w:outlineLvl w:val="0"/>
        <w:rPr>
          <w:b/>
          <w:bCs/>
          <w:szCs w:val="22"/>
          <w:u w:val="single"/>
          <w:lang w:val="nl-BE"/>
        </w:rPr>
      </w:pPr>
      <w:r w:rsidRPr="009503A9">
        <w:rPr>
          <w:b/>
          <w:bCs/>
          <w:szCs w:val="22"/>
          <w:lang w:val="nl-BE"/>
        </w:rPr>
        <w:t xml:space="preserve">dat bestaat </w:t>
      </w:r>
      <w:r w:rsidR="004E7BCC" w:rsidRPr="009503A9">
        <w:rPr>
          <w:b/>
          <w:bCs/>
          <w:szCs w:val="22"/>
          <w:lang w:val="nl-BE"/>
        </w:rPr>
        <w:t xml:space="preserve">uit personeel dat de voorbereiding,  het opstellen en de opvolging </w:t>
      </w:r>
      <w:r w:rsidR="009847B0" w:rsidRPr="009503A9">
        <w:rPr>
          <w:b/>
          <w:bCs/>
          <w:szCs w:val="22"/>
          <w:lang w:val="nl-BE"/>
        </w:rPr>
        <w:t xml:space="preserve">van </w:t>
      </w:r>
      <w:proofErr w:type="spellStart"/>
      <w:r w:rsidR="00813B80" w:rsidRPr="009503A9">
        <w:rPr>
          <w:b/>
          <w:bCs/>
          <w:szCs w:val="22"/>
          <w:lang w:val="nl-BE"/>
        </w:rPr>
        <w:t>interfederale</w:t>
      </w:r>
      <w:proofErr w:type="spellEnd"/>
      <w:r w:rsidR="00813B80" w:rsidRPr="009503A9">
        <w:rPr>
          <w:b/>
          <w:bCs/>
          <w:szCs w:val="22"/>
          <w:lang w:val="nl-BE"/>
        </w:rPr>
        <w:t xml:space="preserve">, globale en geïntegreerde adviezen </w:t>
      </w:r>
      <w:r w:rsidR="00525F3C" w:rsidRPr="009503A9">
        <w:rPr>
          <w:b/>
          <w:bCs/>
          <w:szCs w:val="22"/>
          <w:lang w:val="nl-BE"/>
        </w:rPr>
        <w:t xml:space="preserve">en </w:t>
      </w:r>
      <w:r w:rsidR="004E7BCC" w:rsidRPr="009503A9">
        <w:rPr>
          <w:b/>
          <w:bCs/>
          <w:szCs w:val="22"/>
          <w:lang w:val="nl-BE"/>
        </w:rPr>
        <w:t>rapporten mogelijk maakt</w:t>
      </w:r>
    </w:p>
    <w:p w14:paraId="0016DCCF" w14:textId="77777777" w:rsidR="00434C7E" w:rsidRPr="009503A9" w:rsidRDefault="00EE5740" w:rsidP="00434C7E">
      <w:pPr>
        <w:pStyle w:val="Lijstalinea"/>
        <w:numPr>
          <w:ilvl w:val="2"/>
          <w:numId w:val="18"/>
        </w:numPr>
        <w:jc w:val="both"/>
        <w:outlineLvl w:val="0"/>
        <w:rPr>
          <w:b/>
          <w:bCs/>
          <w:szCs w:val="22"/>
          <w:u w:val="single"/>
          <w:lang w:val="nl-BE"/>
        </w:rPr>
      </w:pPr>
      <w:r w:rsidRPr="009503A9">
        <w:rPr>
          <w:b/>
          <w:bCs/>
          <w:szCs w:val="22"/>
          <w:lang w:val="nl-BE"/>
        </w:rPr>
        <w:t xml:space="preserve">kunnen rekenen op </w:t>
      </w:r>
      <w:r w:rsidR="004E7BCC" w:rsidRPr="009503A9">
        <w:rPr>
          <w:b/>
          <w:bCs/>
          <w:szCs w:val="22"/>
          <w:lang w:val="nl-BE"/>
        </w:rPr>
        <w:t xml:space="preserve">de nodige middelen </w:t>
      </w:r>
      <w:r w:rsidR="00434C7E" w:rsidRPr="009503A9">
        <w:rPr>
          <w:b/>
          <w:bCs/>
          <w:szCs w:val="22"/>
          <w:lang w:val="nl-BE"/>
        </w:rPr>
        <w:t>om goed te functioneren, waaronder</w:t>
      </w:r>
    </w:p>
    <w:p w14:paraId="7D974EE8" w14:textId="112DF5B1" w:rsidR="00434C7E" w:rsidRPr="009503A9" w:rsidRDefault="00434C7E" w:rsidP="00160145">
      <w:pPr>
        <w:pStyle w:val="Lijstalinea"/>
        <w:numPr>
          <w:ilvl w:val="3"/>
          <w:numId w:val="18"/>
        </w:numPr>
        <w:jc w:val="both"/>
        <w:outlineLvl w:val="0"/>
        <w:rPr>
          <w:b/>
          <w:bCs/>
          <w:szCs w:val="22"/>
          <w:u w:val="single"/>
          <w:lang w:val="nl-BE"/>
        </w:rPr>
      </w:pPr>
      <w:r w:rsidRPr="009503A9">
        <w:rPr>
          <w:b/>
          <w:bCs/>
          <w:szCs w:val="22"/>
          <w:lang w:val="nl-BE"/>
        </w:rPr>
        <w:t xml:space="preserve">het organiseren van vergaderingen in de drie landstalen </w:t>
      </w:r>
    </w:p>
    <w:p w14:paraId="15023813" w14:textId="77777777" w:rsidR="00434C7E" w:rsidRPr="009503A9" w:rsidRDefault="00434C7E" w:rsidP="00160145">
      <w:pPr>
        <w:pStyle w:val="Lijstalinea"/>
        <w:numPr>
          <w:ilvl w:val="3"/>
          <w:numId w:val="18"/>
        </w:numPr>
        <w:jc w:val="both"/>
        <w:outlineLvl w:val="0"/>
        <w:rPr>
          <w:b/>
          <w:bCs/>
          <w:szCs w:val="22"/>
          <w:u w:val="single"/>
          <w:lang w:val="nl-BE"/>
        </w:rPr>
      </w:pPr>
      <w:r w:rsidRPr="009503A9">
        <w:rPr>
          <w:b/>
          <w:bCs/>
          <w:szCs w:val="22"/>
          <w:lang w:val="nl-BE"/>
        </w:rPr>
        <w:t xml:space="preserve">de vertaling van adviezen en verslagen in de 3 landstalen, </w:t>
      </w:r>
    </w:p>
    <w:p w14:paraId="2E569CC4" w14:textId="4D2EE7C0" w:rsidR="004E7BCC" w:rsidRPr="00434C7E" w:rsidRDefault="00434C7E" w:rsidP="00160145">
      <w:pPr>
        <w:pStyle w:val="Lijstalinea"/>
        <w:numPr>
          <w:ilvl w:val="3"/>
          <w:numId w:val="18"/>
        </w:numPr>
        <w:jc w:val="both"/>
        <w:outlineLvl w:val="0"/>
        <w:rPr>
          <w:b/>
          <w:bCs/>
          <w:szCs w:val="22"/>
          <w:u w:val="single"/>
        </w:rPr>
      </w:pPr>
      <w:proofErr w:type="spellStart"/>
      <w:r w:rsidRPr="00434C7E">
        <w:rPr>
          <w:b/>
          <w:bCs/>
          <w:szCs w:val="22"/>
        </w:rPr>
        <w:t>zichtbaarheid</w:t>
      </w:r>
      <w:proofErr w:type="spellEnd"/>
      <w:r w:rsidRPr="00434C7E">
        <w:rPr>
          <w:b/>
          <w:bCs/>
          <w:szCs w:val="22"/>
        </w:rPr>
        <w:t xml:space="preserve"> en </w:t>
      </w:r>
      <w:proofErr w:type="spellStart"/>
      <w:r w:rsidR="004E7BCC" w:rsidRPr="00434C7E">
        <w:rPr>
          <w:b/>
          <w:bCs/>
          <w:szCs w:val="22"/>
        </w:rPr>
        <w:t>communicatie</w:t>
      </w:r>
      <w:proofErr w:type="spellEnd"/>
      <w:r w:rsidR="004E7BCC" w:rsidRPr="00434C7E">
        <w:rPr>
          <w:b/>
          <w:bCs/>
          <w:szCs w:val="22"/>
        </w:rPr>
        <w:t xml:space="preserve"> (</w:t>
      </w:r>
      <w:proofErr w:type="spellStart"/>
      <w:r w:rsidR="004E7BCC" w:rsidRPr="00434C7E">
        <w:rPr>
          <w:b/>
          <w:bCs/>
          <w:szCs w:val="22"/>
        </w:rPr>
        <w:t>website</w:t>
      </w:r>
      <w:proofErr w:type="spellEnd"/>
      <w:r w:rsidR="004E7BCC" w:rsidRPr="00434C7E">
        <w:rPr>
          <w:b/>
          <w:bCs/>
          <w:szCs w:val="22"/>
        </w:rPr>
        <w:t xml:space="preserve">) </w:t>
      </w:r>
    </w:p>
    <w:p w14:paraId="2B569DE1" w14:textId="77777777" w:rsidR="00D536A0" w:rsidRPr="00525F3C" w:rsidRDefault="00D536A0" w:rsidP="007250B6">
      <w:pPr>
        <w:ind w:left="720"/>
        <w:jc w:val="both"/>
        <w:rPr>
          <w:b/>
          <w:szCs w:val="22"/>
          <w:u w:val="single"/>
        </w:rPr>
      </w:pPr>
    </w:p>
    <w:p w14:paraId="00C2A85F" w14:textId="77777777" w:rsidR="00267DCF" w:rsidRPr="00525F3C" w:rsidRDefault="00267DCF" w:rsidP="00267DCF">
      <w:pPr>
        <w:ind w:left="5103"/>
        <w:jc w:val="both"/>
        <w:rPr>
          <w:rFonts w:cs="Arial"/>
          <w:szCs w:val="22"/>
        </w:rPr>
      </w:pPr>
    </w:p>
    <w:p w14:paraId="46C1E8A1" w14:textId="77777777" w:rsidR="007A44D9" w:rsidRDefault="007A44D9" w:rsidP="00267DCF">
      <w:pPr>
        <w:ind w:left="5103"/>
        <w:jc w:val="both"/>
        <w:rPr>
          <w:rFonts w:cs="Arial"/>
          <w:sz w:val="20"/>
        </w:rPr>
      </w:pPr>
    </w:p>
    <w:p w14:paraId="18063119" w14:textId="77777777" w:rsidR="007A44D9" w:rsidRDefault="007A44D9" w:rsidP="00267DCF">
      <w:pPr>
        <w:ind w:left="5103"/>
        <w:jc w:val="both"/>
        <w:rPr>
          <w:rFonts w:cs="Arial"/>
          <w:sz w:val="20"/>
        </w:rPr>
      </w:pPr>
    </w:p>
    <w:p w14:paraId="40964B66" w14:textId="77777777" w:rsidR="007A44D9" w:rsidRPr="006B6C66" w:rsidRDefault="007A44D9" w:rsidP="00267DCF">
      <w:pPr>
        <w:ind w:left="5103"/>
        <w:jc w:val="both"/>
        <w:rPr>
          <w:rFonts w:cs="Arial"/>
          <w:sz w:val="20"/>
        </w:rPr>
      </w:pPr>
    </w:p>
    <w:sectPr w:rsidR="007A44D9" w:rsidRPr="006B6C6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BC42" w14:textId="77777777" w:rsidR="008C5D12" w:rsidRDefault="008C5D12" w:rsidP="008C5D12">
      <w:r>
        <w:separator/>
      </w:r>
    </w:p>
  </w:endnote>
  <w:endnote w:type="continuationSeparator" w:id="0">
    <w:p w14:paraId="385CF22D" w14:textId="77777777" w:rsidR="008C5D12" w:rsidRDefault="008C5D12" w:rsidP="008C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BA39B" w14:textId="77777777" w:rsidR="008C5D12" w:rsidRDefault="008C5D12" w:rsidP="008C5D12">
      <w:r>
        <w:separator/>
      </w:r>
    </w:p>
  </w:footnote>
  <w:footnote w:type="continuationSeparator" w:id="0">
    <w:p w14:paraId="6FED69C1" w14:textId="77777777" w:rsidR="008C5D12" w:rsidRDefault="008C5D12" w:rsidP="008C5D12">
      <w:r>
        <w:continuationSeparator/>
      </w:r>
    </w:p>
  </w:footnote>
  <w:footnote w:id="1">
    <w:p w14:paraId="5BF49AFE" w14:textId="1B7DA08C" w:rsidR="008C5D12" w:rsidRPr="009503A9" w:rsidRDefault="008C5D12">
      <w:pPr>
        <w:pStyle w:val="Voetnoottekst"/>
        <w:rPr>
          <w:lang w:val="nl-BE"/>
        </w:rPr>
      </w:pPr>
      <w:r>
        <w:rPr>
          <w:rStyle w:val="Voetnootmarkering"/>
        </w:rPr>
        <w:footnoteRef/>
      </w:r>
      <w:r w:rsidRPr="009503A9">
        <w:rPr>
          <w:lang w:val="nl-BE"/>
        </w:rPr>
        <w:t xml:space="preserve"> Tot onder de federale regering-De </w:t>
      </w:r>
      <w:proofErr w:type="spellStart"/>
      <w:r w:rsidRPr="009503A9">
        <w:rPr>
          <w:lang w:val="nl-BE"/>
        </w:rPr>
        <w:t>Croo</w:t>
      </w:r>
      <w:proofErr w:type="spellEnd"/>
      <w:r w:rsidRPr="009503A9">
        <w:rPr>
          <w:lang w:val="nl-BE"/>
        </w:rPr>
        <w:t xml:space="preserve"> viel handicap onder de GIM 'Gezinnen, Welzijn en Sport'; de regering 2024-2029 heeft de </w:t>
      </w:r>
      <w:proofErr w:type="spellStart"/>
      <w:r w:rsidRPr="009503A9">
        <w:rPr>
          <w:lang w:val="nl-BE"/>
        </w:rPr>
        <w:t>GIM's</w:t>
      </w:r>
      <w:proofErr w:type="spellEnd"/>
      <w:r w:rsidRPr="009503A9">
        <w:rPr>
          <w:lang w:val="nl-BE"/>
        </w:rPr>
        <w:t xml:space="preserve"> herschikt en handicap zal voortaan worden behandeld in de GIM 'Gelijke Kansen, Handicap en Racismebestrijding'.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7D8"/>
    <w:multiLevelType w:val="hybridMultilevel"/>
    <w:tmpl w:val="1BCA7DD6"/>
    <w:lvl w:ilvl="0" w:tplc="0809000F">
      <w:start w:val="1"/>
      <w:numFmt w:val="decimal"/>
      <w:lvlText w:val="%1."/>
      <w:lvlJc w:val="left"/>
      <w:pPr>
        <w:tabs>
          <w:tab w:val="num" w:pos="1211"/>
        </w:tabs>
        <w:ind w:left="1211" w:hanging="360"/>
      </w:pPr>
    </w:lvl>
    <w:lvl w:ilvl="1" w:tplc="FFFFFFFF">
      <w:start w:val="1"/>
      <w:numFmt w:val="bullet"/>
      <w:lvlText w:val=""/>
      <w:lvlJc w:val="left"/>
      <w:pPr>
        <w:tabs>
          <w:tab w:val="num" w:pos="1931"/>
        </w:tabs>
        <w:ind w:left="1911" w:hanging="340"/>
      </w:pPr>
      <w:rPr>
        <w:rFonts w:ascii="Wingdings" w:hAnsi="Wingdings" w:hint="default"/>
        <w:sz w:val="16"/>
      </w:rPr>
    </w:lvl>
    <w:lvl w:ilvl="2" w:tplc="0809001B" w:tentative="1">
      <w:start w:val="1"/>
      <w:numFmt w:val="lowerRoman"/>
      <w:lvlText w:val="%3."/>
      <w:lvlJc w:val="right"/>
      <w:pPr>
        <w:tabs>
          <w:tab w:val="num" w:pos="2651"/>
        </w:tabs>
        <w:ind w:left="2651" w:hanging="180"/>
      </w:pPr>
    </w:lvl>
    <w:lvl w:ilvl="3" w:tplc="0809000F" w:tentative="1">
      <w:start w:val="1"/>
      <w:numFmt w:val="decimal"/>
      <w:lvlText w:val="%4."/>
      <w:lvlJc w:val="left"/>
      <w:pPr>
        <w:tabs>
          <w:tab w:val="num" w:pos="3371"/>
        </w:tabs>
        <w:ind w:left="3371" w:hanging="360"/>
      </w:pPr>
    </w:lvl>
    <w:lvl w:ilvl="4" w:tplc="08090019" w:tentative="1">
      <w:start w:val="1"/>
      <w:numFmt w:val="lowerLetter"/>
      <w:lvlText w:val="%5."/>
      <w:lvlJc w:val="left"/>
      <w:pPr>
        <w:tabs>
          <w:tab w:val="num" w:pos="4091"/>
        </w:tabs>
        <w:ind w:left="4091" w:hanging="360"/>
      </w:pPr>
    </w:lvl>
    <w:lvl w:ilvl="5" w:tplc="0809001B" w:tentative="1">
      <w:start w:val="1"/>
      <w:numFmt w:val="lowerRoman"/>
      <w:lvlText w:val="%6."/>
      <w:lvlJc w:val="right"/>
      <w:pPr>
        <w:tabs>
          <w:tab w:val="num" w:pos="4811"/>
        </w:tabs>
        <w:ind w:left="4811" w:hanging="180"/>
      </w:pPr>
    </w:lvl>
    <w:lvl w:ilvl="6" w:tplc="0809000F" w:tentative="1">
      <w:start w:val="1"/>
      <w:numFmt w:val="decimal"/>
      <w:lvlText w:val="%7."/>
      <w:lvlJc w:val="left"/>
      <w:pPr>
        <w:tabs>
          <w:tab w:val="num" w:pos="5531"/>
        </w:tabs>
        <w:ind w:left="5531" w:hanging="360"/>
      </w:pPr>
    </w:lvl>
    <w:lvl w:ilvl="7" w:tplc="08090019" w:tentative="1">
      <w:start w:val="1"/>
      <w:numFmt w:val="lowerLetter"/>
      <w:lvlText w:val="%8."/>
      <w:lvlJc w:val="left"/>
      <w:pPr>
        <w:tabs>
          <w:tab w:val="num" w:pos="6251"/>
        </w:tabs>
        <w:ind w:left="6251" w:hanging="360"/>
      </w:pPr>
    </w:lvl>
    <w:lvl w:ilvl="8" w:tplc="0809001B" w:tentative="1">
      <w:start w:val="1"/>
      <w:numFmt w:val="lowerRoman"/>
      <w:lvlText w:val="%9."/>
      <w:lvlJc w:val="right"/>
      <w:pPr>
        <w:tabs>
          <w:tab w:val="num" w:pos="6971"/>
        </w:tabs>
        <w:ind w:left="6971" w:hanging="180"/>
      </w:pPr>
    </w:lvl>
  </w:abstractNum>
  <w:abstractNum w:abstractNumId="1" w15:restartNumberingAfterBreak="0">
    <w:nsid w:val="093578C9"/>
    <w:multiLevelType w:val="hybridMultilevel"/>
    <w:tmpl w:val="8AB0EA66"/>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 w15:restartNumberingAfterBreak="0">
    <w:nsid w:val="102D3942"/>
    <w:multiLevelType w:val="hybridMultilevel"/>
    <w:tmpl w:val="A0BCC91C"/>
    <w:lvl w:ilvl="0" w:tplc="1064095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50EA8"/>
    <w:multiLevelType w:val="multilevel"/>
    <w:tmpl w:val="E3F49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A6688"/>
    <w:multiLevelType w:val="hybridMultilevel"/>
    <w:tmpl w:val="1818A686"/>
    <w:lvl w:ilvl="0" w:tplc="1064095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41426"/>
    <w:multiLevelType w:val="multilevel"/>
    <w:tmpl w:val="6D40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C511B"/>
    <w:multiLevelType w:val="hybridMultilevel"/>
    <w:tmpl w:val="018E13B4"/>
    <w:lvl w:ilvl="0" w:tplc="246A77F2">
      <w:numFmt w:val="bullet"/>
      <w:lvlText w:val=""/>
      <w:lvlJc w:val="left"/>
      <w:pPr>
        <w:ind w:left="1080" w:hanging="360"/>
      </w:pPr>
      <w:rPr>
        <w:rFonts w:ascii="Wingdings" w:eastAsia="Times New Roman" w:hAnsi="Wingdings"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E0246A"/>
    <w:multiLevelType w:val="multilevel"/>
    <w:tmpl w:val="600C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C3C85"/>
    <w:multiLevelType w:val="hybridMultilevel"/>
    <w:tmpl w:val="A178E676"/>
    <w:lvl w:ilvl="0" w:tplc="10640954">
      <w:numFmt w:val="bullet"/>
      <w:lvlText w:val="-"/>
      <w:lvlJc w:val="left"/>
      <w:pPr>
        <w:ind w:left="1080" w:hanging="360"/>
      </w:pPr>
      <w:rPr>
        <w:rFonts w:ascii="Verdana" w:eastAsia="Times New Roman" w:hAnsi="Verdan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0D00DBD"/>
    <w:multiLevelType w:val="hybridMultilevel"/>
    <w:tmpl w:val="2688A99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6484A9C"/>
    <w:multiLevelType w:val="hybridMultilevel"/>
    <w:tmpl w:val="E95C01C0"/>
    <w:lvl w:ilvl="0" w:tplc="FFFFFFFF">
      <w:start w:val="1"/>
      <w:numFmt w:val="bullet"/>
      <w:lvlText w:val=""/>
      <w:lvlJc w:val="left"/>
      <w:pPr>
        <w:ind w:left="1635" w:hanging="360"/>
      </w:pPr>
      <w:rPr>
        <w:rFonts w:ascii="Wingdings" w:hAnsi="Wingdings" w:hint="default"/>
        <w:sz w:val="16"/>
      </w:rPr>
    </w:lvl>
    <w:lvl w:ilvl="1" w:tplc="08130003">
      <w:start w:val="1"/>
      <w:numFmt w:val="bullet"/>
      <w:lvlText w:val="o"/>
      <w:lvlJc w:val="left"/>
      <w:pPr>
        <w:ind w:left="2355" w:hanging="360"/>
      </w:pPr>
      <w:rPr>
        <w:rFonts w:ascii="Courier New" w:hAnsi="Courier New" w:cs="Courier New" w:hint="default"/>
      </w:rPr>
    </w:lvl>
    <w:lvl w:ilvl="2" w:tplc="08130005">
      <w:start w:val="1"/>
      <w:numFmt w:val="bullet"/>
      <w:lvlText w:val=""/>
      <w:lvlJc w:val="left"/>
      <w:pPr>
        <w:ind w:left="3075" w:hanging="360"/>
      </w:pPr>
      <w:rPr>
        <w:rFonts w:ascii="Wingdings" w:hAnsi="Wingdings" w:hint="default"/>
      </w:rPr>
    </w:lvl>
    <w:lvl w:ilvl="3" w:tplc="08130001">
      <w:start w:val="1"/>
      <w:numFmt w:val="bullet"/>
      <w:lvlText w:val=""/>
      <w:lvlJc w:val="left"/>
      <w:pPr>
        <w:ind w:left="3795" w:hanging="360"/>
      </w:pPr>
      <w:rPr>
        <w:rFonts w:ascii="Symbol" w:hAnsi="Symbol" w:hint="default"/>
      </w:rPr>
    </w:lvl>
    <w:lvl w:ilvl="4" w:tplc="08130003">
      <w:start w:val="1"/>
      <w:numFmt w:val="bullet"/>
      <w:lvlText w:val="o"/>
      <w:lvlJc w:val="left"/>
      <w:pPr>
        <w:ind w:left="4515" w:hanging="360"/>
      </w:pPr>
      <w:rPr>
        <w:rFonts w:ascii="Courier New" w:hAnsi="Courier New" w:cs="Courier New" w:hint="default"/>
      </w:rPr>
    </w:lvl>
    <w:lvl w:ilvl="5" w:tplc="08130005">
      <w:start w:val="1"/>
      <w:numFmt w:val="bullet"/>
      <w:lvlText w:val=""/>
      <w:lvlJc w:val="left"/>
      <w:pPr>
        <w:ind w:left="5235" w:hanging="360"/>
      </w:pPr>
      <w:rPr>
        <w:rFonts w:ascii="Wingdings" w:hAnsi="Wingdings" w:hint="default"/>
      </w:rPr>
    </w:lvl>
    <w:lvl w:ilvl="6" w:tplc="08130001">
      <w:start w:val="1"/>
      <w:numFmt w:val="bullet"/>
      <w:lvlText w:val=""/>
      <w:lvlJc w:val="left"/>
      <w:pPr>
        <w:ind w:left="5955" w:hanging="360"/>
      </w:pPr>
      <w:rPr>
        <w:rFonts w:ascii="Symbol" w:hAnsi="Symbol" w:hint="default"/>
      </w:rPr>
    </w:lvl>
    <w:lvl w:ilvl="7" w:tplc="08130003">
      <w:start w:val="1"/>
      <w:numFmt w:val="bullet"/>
      <w:lvlText w:val="o"/>
      <w:lvlJc w:val="left"/>
      <w:pPr>
        <w:ind w:left="6675" w:hanging="360"/>
      </w:pPr>
      <w:rPr>
        <w:rFonts w:ascii="Courier New" w:hAnsi="Courier New" w:cs="Courier New" w:hint="default"/>
      </w:rPr>
    </w:lvl>
    <w:lvl w:ilvl="8" w:tplc="08130005">
      <w:start w:val="1"/>
      <w:numFmt w:val="bullet"/>
      <w:lvlText w:val=""/>
      <w:lvlJc w:val="left"/>
      <w:pPr>
        <w:ind w:left="7395" w:hanging="360"/>
      </w:pPr>
      <w:rPr>
        <w:rFonts w:ascii="Wingdings" w:hAnsi="Wingdings" w:hint="default"/>
      </w:rPr>
    </w:lvl>
  </w:abstractNum>
  <w:abstractNum w:abstractNumId="11" w15:restartNumberingAfterBreak="0">
    <w:nsid w:val="593345CA"/>
    <w:multiLevelType w:val="hybridMultilevel"/>
    <w:tmpl w:val="1A9C4D6C"/>
    <w:lvl w:ilvl="0" w:tplc="10640954">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E54B79"/>
    <w:multiLevelType w:val="hybridMultilevel"/>
    <w:tmpl w:val="0DCCA712"/>
    <w:lvl w:ilvl="0" w:tplc="04090017">
      <w:start w:val="1"/>
      <w:numFmt w:val="lowerLetter"/>
      <w:lvlText w:val="%1)"/>
      <w:lvlJc w:val="left"/>
      <w:pPr>
        <w:ind w:left="121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3" w15:restartNumberingAfterBreak="0">
    <w:nsid w:val="6A726017"/>
    <w:multiLevelType w:val="hybridMultilevel"/>
    <w:tmpl w:val="7F8EE2C8"/>
    <w:lvl w:ilvl="0" w:tplc="C742DFF4">
      <w:start w:val="1"/>
      <w:numFmt w:val="bullet"/>
      <w:lvlText w:val=""/>
      <w:lvlJc w:val="left"/>
      <w:pPr>
        <w:ind w:left="1930" w:hanging="360"/>
      </w:pPr>
      <w:rPr>
        <w:rFonts w:ascii="Symbol" w:hAnsi="Symbol" w:hint="default"/>
      </w:rPr>
    </w:lvl>
    <w:lvl w:ilvl="1" w:tplc="C742DFF4">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4" w15:restartNumberingAfterBreak="0">
    <w:nsid w:val="6B480825"/>
    <w:multiLevelType w:val="hybridMultilevel"/>
    <w:tmpl w:val="2688A99C"/>
    <w:lvl w:ilvl="0" w:tplc="08130015">
      <w:start w:val="1"/>
      <w:numFmt w:val="upperLetter"/>
      <w:lvlText w:val="%1."/>
      <w:lvlJc w:val="left"/>
      <w:pPr>
        <w:ind w:left="643" w:hanging="360"/>
      </w:pPr>
    </w:lvl>
    <w:lvl w:ilvl="1" w:tplc="08130019">
      <w:start w:val="1"/>
      <w:numFmt w:val="lowerLetter"/>
      <w:lvlText w:val="%2."/>
      <w:lvlJc w:val="left"/>
      <w:pPr>
        <w:ind w:left="1363" w:hanging="360"/>
      </w:pPr>
    </w:lvl>
    <w:lvl w:ilvl="2" w:tplc="0813001B">
      <w:start w:val="1"/>
      <w:numFmt w:val="lowerRoman"/>
      <w:lvlText w:val="%3."/>
      <w:lvlJc w:val="right"/>
      <w:pPr>
        <w:ind w:left="2083" w:hanging="180"/>
      </w:pPr>
    </w:lvl>
    <w:lvl w:ilvl="3" w:tplc="0813000F">
      <w:start w:val="1"/>
      <w:numFmt w:val="decimal"/>
      <w:lvlText w:val="%4."/>
      <w:lvlJc w:val="left"/>
      <w:pPr>
        <w:ind w:left="2803" w:hanging="360"/>
      </w:pPr>
    </w:lvl>
    <w:lvl w:ilvl="4" w:tplc="08130019">
      <w:start w:val="1"/>
      <w:numFmt w:val="lowerLetter"/>
      <w:lvlText w:val="%5."/>
      <w:lvlJc w:val="left"/>
      <w:pPr>
        <w:ind w:left="3523" w:hanging="360"/>
      </w:pPr>
    </w:lvl>
    <w:lvl w:ilvl="5" w:tplc="0813001B">
      <w:start w:val="1"/>
      <w:numFmt w:val="lowerRoman"/>
      <w:lvlText w:val="%6."/>
      <w:lvlJc w:val="right"/>
      <w:pPr>
        <w:ind w:left="4243" w:hanging="180"/>
      </w:pPr>
    </w:lvl>
    <w:lvl w:ilvl="6" w:tplc="0813000F">
      <w:start w:val="1"/>
      <w:numFmt w:val="decimal"/>
      <w:lvlText w:val="%7."/>
      <w:lvlJc w:val="left"/>
      <w:pPr>
        <w:ind w:left="4963" w:hanging="360"/>
      </w:pPr>
    </w:lvl>
    <w:lvl w:ilvl="7" w:tplc="08130019">
      <w:start w:val="1"/>
      <w:numFmt w:val="lowerLetter"/>
      <w:lvlText w:val="%8."/>
      <w:lvlJc w:val="left"/>
      <w:pPr>
        <w:ind w:left="5683" w:hanging="360"/>
      </w:pPr>
    </w:lvl>
    <w:lvl w:ilvl="8" w:tplc="0813001B">
      <w:start w:val="1"/>
      <w:numFmt w:val="lowerRoman"/>
      <w:lvlText w:val="%9."/>
      <w:lvlJc w:val="right"/>
      <w:pPr>
        <w:ind w:left="6403" w:hanging="180"/>
      </w:pPr>
    </w:lvl>
  </w:abstractNum>
  <w:abstractNum w:abstractNumId="15" w15:restartNumberingAfterBreak="0">
    <w:nsid w:val="7D213356"/>
    <w:multiLevelType w:val="hybridMultilevel"/>
    <w:tmpl w:val="E0384BE8"/>
    <w:lvl w:ilvl="0" w:tplc="04090017">
      <w:start w:val="1"/>
      <w:numFmt w:val="lowerLetter"/>
      <w:lvlText w:val="%1)"/>
      <w:lvlJc w:val="left"/>
      <w:pPr>
        <w:ind w:left="121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start w:val="1"/>
      <w:numFmt w:val="decimal"/>
      <w:lvlText w:val="%4."/>
      <w:lvlJc w:val="left"/>
      <w:pPr>
        <w:ind w:left="3600" w:hanging="360"/>
      </w:pPr>
    </w:lvl>
    <w:lvl w:ilvl="4" w:tplc="08130019">
      <w:start w:val="1"/>
      <w:numFmt w:val="lowerLetter"/>
      <w:lvlText w:val="%5."/>
      <w:lvlJc w:val="left"/>
      <w:pPr>
        <w:ind w:left="4320" w:hanging="360"/>
      </w:pPr>
    </w:lvl>
    <w:lvl w:ilvl="5" w:tplc="0813001B">
      <w:start w:val="1"/>
      <w:numFmt w:val="lowerRoman"/>
      <w:lvlText w:val="%6."/>
      <w:lvlJc w:val="right"/>
      <w:pPr>
        <w:ind w:left="5040" w:hanging="180"/>
      </w:pPr>
    </w:lvl>
    <w:lvl w:ilvl="6" w:tplc="0813000F">
      <w:start w:val="1"/>
      <w:numFmt w:val="decimal"/>
      <w:lvlText w:val="%7."/>
      <w:lvlJc w:val="left"/>
      <w:pPr>
        <w:ind w:left="5760" w:hanging="360"/>
      </w:pPr>
    </w:lvl>
    <w:lvl w:ilvl="7" w:tplc="08130019">
      <w:start w:val="1"/>
      <w:numFmt w:val="lowerLetter"/>
      <w:lvlText w:val="%8."/>
      <w:lvlJc w:val="left"/>
      <w:pPr>
        <w:ind w:left="6480" w:hanging="360"/>
      </w:pPr>
    </w:lvl>
    <w:lvl w:ilvl="8" w:tplc="0813001B">
      <w:start w:val="1"/>
      <w:numFmt w:val="lowerRoman"/>
      <w:lvlText w:val="%9."/>
      <w:lvlJc w:val="right"/>
      <w:pPr>
        <w:ind w:left="7200" w:hanging="180"/>
      </w:pPr>
    </w:lvl>
  </w:abstractNum>
  <w:abstractNum w:abstractNumId="16" w15:restartNumberingAfterBreak="0">
    <w:nsid w:val="7F7C0D51"/>
    <w:multiLevelType w:val="hybridMultilevel"/>
    <w:tmpl w:val="FB2ED806"/>
    <w:lvl w:ilvl="0" w:tplc="FFFFFFFF">
      <w:start w:val="1"/>
      <w:numFmt w:val="bullet"/>
      <w:lvlText w:val=""/>
      <w:lvlJc w:val="left"/>
      <w:pPr>
        <w:tabs>
          <w:tab w:val="num" w:pos="644"/>
        </w:tabs>
        <w:ind w:left="624" w:hanging="34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23891057">
    <w:abstractNumId w:val="16"/>
  </w:num>
  <w:num w:numId="2" w16cid:durableId="1713387074">
    <w:abstractNumId w:val="0"/>
  </w:num>
  <w:num w:numId="3" w16cid:durableId="3497669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6213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59238291">
    <w:abstractNumId w:val="15"/>
  </w:num>
  <w:num w:numId="6" w16cid:durableId="1656374823">
    <w:abstractNumId w:val="10"/>
  </w:num>
  <w:num w:numId="7" w16cid:durableId="966199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541962">
    <w:abstractNumId w:val="1"/>
  </w:num>
  <w:num w:numId="9" w16cid:durableId="1101416872">
    <w:abstractNumId w:val="13"/>
  </w:num>
  <w:num w:numId="10" w16cid:durableId="503086137">
    <w:abstractNumId w:val="12"/>
  </w:num>
  <w:num w:numId="11" w16cid:durableId="791098041">
    <w:abstractNumId w:val="14"/>
  </w:num>
  <w:num w:numId="12" w16cid:durableId="1008946942">
    <w:abstractNumId w:val="3"/>
  </w:num>
  <w:num w:numId="13" w16cid:durableId="831944376">
    <w:abstractNumId w:val="7"/>
  </w:num>
  <w:num w:numId="14" w16cid:durableId="1033966323">
    <w:abstractNumId w:val="5"/>
  </w:num>
  <w:num w:numId="15" w16cid:durableId="1391225983">
    <w:abstractNumId w:val="4"/>
  </w:num>
  <w:num w:numId="16" w16cid:durableId="519438588">
    <w:abstractNumId w:val="8"/>
  </w:num>
  <w:num w:numId="17" w16cid:durableId="2022390703">
    <w:abstractNumId w:val="11"/>
  </w:num>
  <w:num w:numId="18" w16cid:durableId="1451900865">
    <w:abstractNumId w:val="2"/>
  </w:num>
  <w:num w:numId="19" w16cid:durableId="208883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3D"/>
    <w:rsid w:val="00000628"/>
    <w:rsid w:val="000A3E7C"/>
    <w:rsid w:val="000B68F9"/>
    <w:rsid w:val="00105F03"/>
    <w:rsid w:val="001116D2"/>
    <w:rsid w:val="00132BD6"/>
    <w:rsid w:val="00147942"/>
    <w:rsid w:val="002122C4"/>
    <w:rsid w:val="00217576"/>
    <w:rsid w:val="00241418"/>
    <w:rsid w:val="00261171"/>
    <w:rsid w:val="002653C4"/>
    <w:rsid w:val="00267DCF"/>
    <w:rsid w:val="002736F2"/>
    <w:rsid w:val="002C28DD"/>
    <w:rsid w:val="00311F8C"/>
    <w:rsid w:val="00364805"/>
    <w:rsid w:val="003D1682"/>
    <w:rsid w:val="00434C7E"/>
    <w:rsid w:val="004428AB"/>
    <w:rsid w:val="004500AD"/>
    <w:rsid w:val="00451226"/>
    <w:rsid w:val="004A1F84"/>
    <w:rsid w:val="004B2938"/>
    <w:rsid w:val="004E1749"/>
    <w:rsid w:val="004E7BCC"/>
    <w:rsid w:val="00517915"/>
    <w:rsid w:val="00521E2B"/>
    <w:rsid w:val="00525F3C"/>
    <w:rsid w:val="00583E54"/>
    <w:rsid w:val="00586117"/>
    <w:rsid w:val="005D04C0"/>
    <w:rsid w:val="00615CB0"/>
    <w:rsid w:val="006224F1"/>
    <w:rsid w:val="00644D81"/>
    <w:rsid w:val="00656B5D"/>
    <w:rsid w:val="006572B0"/>
    <w:rsid w:val="006601C8"/>
    <w:rsid w:val="00672A63"/>
    <w:rsid w:val="00690492"/>
    <w:rsid w:val="006C4A36"/>
    <w:rsid w:val="006E38C1"/>
    <w:rsid w:val="007250B6"/>
    <w:rsid w:val="0073760D"/>
    <w:rsid w:val="007962A1"/>
    <w:rsid w:val="007A44D9"/>
    <w:rsid w:val="007C0FC5"/>
    <w:rsid w:val="007D5A21"/>
    <w:rsid w:val="007E4884"/>
    <w:rsid w:val="007F6D83"/>
    <w:rsid w:val="00813B80"/>
    <w:rsid w:val="008201E0"/>
    <w:rsid w:val="00853A5E"/>
    <w:rsid w:val="008C5D12"/>
    <w:rsid w:val="008E6995"/>
    <w:rsid w:val="008F7462"/>
    <w:rsid w:val="00921267"/>
    <w:rsid w:val="009503A9"/>
    <w:rsid w:val="00971C7F"/>
    <w:rsid w:val="0098475A"/>
    <w:rsid w:val="009847B0"/>
    <w:rsid w:val="009952CF"/>
    <w:rsid w:val="009A1A87"/>
    <w:rsid w:val="009A705A"/>
    <w:rsid w:val="009C3C2F"/>
    <w:rsid w:val="00A0199B"/>
    <w:rsid w:val="00A0594E"/>
    <w:rsid w:val="00A14B16"/>
    <w:rsid w:val="00A43707"/>
    <w:rsid w:val="00A44465"/>
    <w:rsid w:val="00A83CDC"/>
    <w:rsid w:val="00A8661A"/>
    <w:rsid w:val="00AB74EE"/>
    <w:rsid w:val="00AE6E88"/>
    <w:rsid w:val="00AF75EA"/>
    <w:rsid w:val="00B66E15"/>
    <w:rsid w:val="00BA0420"/>
    <w:rsid w:val="00C4005E"/>
    <w:rsid w:val="00C4240C"/>
    <w:rsid w:val="00C515BB"/>
    <w:rsid w:val="00C6363E"/>
    <w:rsid w:val="00C7332D"/>
    <w:rsid w:val="00CC379D"/>
    <w:rsid w:val="00CE5907"/>
    <w:rsid w:val="00D536A0"/>
    <w:rsid w:val="00DA7478"/>
    <w:rsid w:val="00DB0E0D"/>
    <w:rsid w:val="00DB75BE"/>
    <w:rsid w:val="00DC220A"/>
    <w:rsid w:val="00DF7E12"/>
    <w:rsid w:val="00E02EF7"/>
    <w:rsid w:val="00E20CA8"/>
    <w:rsid w:val="00E45D1B"/>
    <w:rsid w:val="00E90A25"/>
    <w:rsid w:val="00E946DF"/>
    <w:rsid w:val="00ED59D4"/>
    <w:rsid w:val="00ED776B"/>
    <w:rsid w:val="00EE5740"/>
    <w:rsid w:val="00F313B5"/>
    <w:rsid w:val="00F430E2"/>
    <w:rsid w:val="00FB573D"/>
    <w:rsid w:val="099C569D"/>
    <w:rsid w:val="12B676E9"/>
    <w:rsid w:val="141DDC7E"/>
    <w:rsid w:val="152DA5C6"/>
    <w:rsid w:val="20A5347B"/>
    <w:rsid w:val="22E2EE5B"/>
    <w:rsid w:val="308D1E41"/>
    <w:rsid w:val="36513888"/>
    <w:rsid w:val="479BEDF0"/>
    <w:rsid w:val="4D096889"/>
    <w:rsid w:val="5B677653"/>
    <w:rsid w:val="5CFBC3CC"/>
    <w:rsid w:val="60561B5A"/>
    <w:rsid w:val="65432DBD"/>
    <w:rsid w:val="678E2BC6"/>
    <w:rsid w:val="70F51133"/>
    <w:rsid w:val="77D9D2BF"/>
    <w:rsid w:val="78C917FE"/>
    <w:rsid w:val="78E41FAE"/>
    <w:rsid w:val="790DB050"/>
    <w:rsid w:val="7AE6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B385B"/>
  <w15:chartTrackingRefBased/>
  <w15:docId w15:val="{58D29B99-B430-4B23-BE97-BC015535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 w:val="22"/>
      <w:szCs w:val="24"/>
      <w:lang w:val="fr-BE"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672A63"/>
    <w:rPr>
      <w:rFonts w:ascii="Segoe UI" w:hAnsi="Segoe UI" w:cs="Segoe UI"/>
      <w:sz w:val="18"/>
      <w:szCs w:val="18"/>
    </w:rPr>
  </w:style>
  <w:style w:type="character" w:customStyle="1" w:styleId="BallontekstChar">
    <w:name w:val="Ballontekst Char"/>
    <w:link w:val="Ballontekst"/>
    <w:rsid w:val="00672A63"/>
    <w:rPr>
      <w:rFonts w:ascii="Segoe UI" w:hAnsi="Segoe UI" w:cs="Segoe UI"/>
      <w:sz w:val="18"/>
      <w:szCs w:val="18"/>
      <w:lang w:val="fr-BE" w:eastAsia="en-GB"/>
    </w:rPr>
  </w:style>
  <w:style w:type="paragraph" w:customStyle="1" w:styleId="Default">
    <w:name w:val="Default"/>
    <w:rsid w:val="00AB74EE"/>
    <w:pPr>
      <w:autoSpaceDE w:val="0"/>
      <w:autoSpaceDN w:val="0"/>
      <w:adjustRightInd w:val="0"/>
    </w:pPr>
    <w:rPr>
      <w:color w:val="000000"/>
      <w:sz w:val="24"/>
      <w:szCs w:val="24"/>
    </w:rPr>
  </w:style>
  <w:style w:type="character" w:styleId="Hyperlink">
    <w:name w:val="Hyperlink"/>
    <w:basedOn w:val="Standaardalinea-lettertype"/>
    <w:rsid w:val="00AB74EE"/>
    <w:rPr>
      <w:color w:val="0563C1" w:themeColor="hyperlink"/>
      <w:u w:val="single"/>
    </w:rPr>
  </w:style>
  <w:style w:type="character" w:styleId="Onopgelostemelding">
    <w:name w:val="Unresolved Mention"/>
    <w:basedOn w:val="Standaardalinea-lettertype"/>
    <w:uiPriority w:val="99"/>
    <w:semiHidden/>
    <w:unhideWhenUsed/>
    <w:rsid w:val="00AB74EE"/>
    <w:rPr>
      <w:color w:val="605E5C"/>
      <w:shd w:val="clear" w:color="auto" w:fill="E1DFDD"/>
    </w:rPr>
  </w:style>
  <w:style w:type="character" w:styleId="Zwaar">
    <w:name w:val="Strong"/>
    <w:uiPriority w:val="22"/>
    <w:qFormat/>
    <w:rsid w:val="00853A5E"/>
    <w:rPr>
      <w:b/>
      <w:bCs/>
    </w:rPr>
  </w:style>
  <w:style w:type="paragraph" w:styleId="Lijstalinea">
    <w:name w:val="List Paragraph"/>
    <w:basedOn w:val="Standaard"/>
    <w:uiPriority w:val="34"/>
    <w:qFormat/>
    <w:rsid w:val="007E4884"/>
    <w:pPr>
      <w:ind w:left="720"/>
      <w:contextualSpacing/>
    </w:pPr>
  </w:style>
  <w:style w:type="paragraph" w:styleId="Voetnoottekst">
    <w:name w:val="footnote text"/>
    <w:basedOn w:val="Standaard"/>
    <w:link w:val="VoetnoottekstChar"/>
    <w:rsid w:val="008C5D12"/>
    <w:rPr>
      <w:sz w:val="20"/>
      <w:szCs w:val="20"/>
    </w:rPr>
  </w:style>
  <w:style w:type="character" w:customStyle="1" w:styleId="VoetnoottekstChar">
    <w:name w:val="Voetnoottekst Char"/>
    <w:basedOn w:val="Standaardalinea-lettertype"/>
    <w:link w:val="Voetnoottekst"/>
    <w:rsid w:val="008C5D12"/>
    <w:rPr>
      <w:rFonts w:ascii="Verdana" w:hAnsi="Verdana"/>
      <w:lang w:val="fr-BE" w:eastAsia="en-GB"/>
    </w:rPr>
  </w:style>
  <w:style w:type="character" w:styleId="Voetnootmarkering">
    <w:name w:val="footnote reference"/>
    <w:basedOn w:val="Standaardalinea-lettertype"/>
    <w:rsid w:val="008C5D12"/>
    <w:rPr>
      <w:vertAlign w:val="superscript"/>
    </w:rPr>
  </w:style>
  <w:style w:type="table" w:styleId="Tabelraster">
    <w:name w:val="Table Grid"/>
    <w:basedOn w:val="Standaardtabel"/>
    <w:rsid w:val="00EE5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51226"/>
    <w:rPr>
      <w:rFonts w:ascii="Verdana" w:hAnsi="Verdana"/>
      <w:sz w:val="22"/>
      <w:szCs w:val="24"/>
      <w:lang w:val="fr-BE" w:eastAsia="en-GB"/>
    </w:rPr>
  </w:style>
  <w:style w:type="character" w:styleId="Verwijzingopmerking">
    <w:name w:val="annotation reference"/>
    <w:basedOn w:val="Standaardalinea-lettertype"/>
    <w:rsid w:val="00261171"/>
    <w:rPr>
      <w:sz w:val="16"/>
      <w:szCs w:val="16"/>
    </w:rPr>
  </w:style>
  <w:style w:type="paragraph" w:styleId="Tekstopmerking">
    <w:name w:val="annotation text"/>
    <w:basedOn w:val="Standaard"/>
    <w:link w:val="TekstopmerkingChar"/>
    <w:rsid w:val="00261171"/>
    <w:rPr>
      <w:sz w:val="20"/>
      <w:szCs w:val="20"/>
    </w:rPr>
  </w:style>
  <w:style w:type="character" w:customStyle="1" w:styleId="TekstopmerkingChar">
    <w:name w:val="Tekst opmerking Char"/>
    <w:basedOn w:val="Standaardalinea-lettertype"/>
    <w:link w:val="Tekstopmerking"/>
    <w:rsid w:val="00261171"/>
    <w:rPr>
      <w:rFonts w:ascii="Verdana" w:hAnsi="Verdana"/>
      <w:lang w:val="fr-BE" w:eastAsia="en-GB"/>
    </w:rPr>
  </w:style>
  <w:style w:type="paragraph" w:styleId="Onderwerpvanopmerking">
    <w:name w:val="annotation subject"/>
    <w:basedOn w:val="Tekstopmerking"/>
    <w:next w:val="Tekstopmerking"/>
    <w:link w:val="OnderwerpvanopmerkingChar"/>
    <w:rsid w:val="00261171"/>
    <w:rPr>
      <w:b/>
      <w:bCs/>
    </w:rPr>
  </w:style>
  <w:style w:type="character" w:customStyle="1" w:styleId="OnderwerpvanopmerkingChar">
    <w:name w:val="Onderwerp van opmerking Char"/>
    <w:basedOn w:val="TekstopmerkingChar"/>
    <w:link w:val="Onderwerpvanopmerking"/>
    <w:rsid w:val="00261171"/>
    <w:rPr>
      <w:rFonts w:ascii="Verdana" w:hAnsi="Verdana"/>
      <w:b/>
      <w:bCs/>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32339">
      <w:bodyDiv w:val="1"/>
      <w:marLeft w:val="0"/>
      <w:marRight w:val="0"/>
      <w:marTop w:val="0"/>
      <w:marBottom w:val="0"/>
      <w:divBdr>
        <w:top w:val="none" w:sz="0" w:space="0" w:color="auto"/>
        <w:left w:val="none" w:sz="0" w:space="0" w:color="auto"/>
        <w:bottom w:val="none" w:sz="0" w:space="0" w:color="auto"/>
        <w:right w:val="none" w:sz="0" w:space="0" w:color="auto"/>
      </w:divBdr>
    </w:div>
    <w:div w:id="1294747879">
      <w:bodyDiv w:val="1"/>
      <w:marLeft w:val="0"/>
      <w:marRight w:val="0"/>
      <w:marTop w:val="0"/>
      <w:marBottom w:val="0"/>
      <w:divBdr>
        <w:top w:val="none" w:sz="0" w:space="0" w:color="auto"/>
        <w:left w:val="none" w:sz="0" w:space="0" w:color="auto"/>
        <w:bottom w:val="none" w:sz="0" w:space="0" w:color="auto"/>
        <w:right w:val="none" w:sz="0" w:space="0" w:color="auto"/>
      </w:divBdr>
    </w:div>
    <w:div w:id="1360617856">
      <w:bodyDiv w:val="1"/>
      <w:marLeft w:val="0"/>
      <w:marRight w:val="0"/>
      <w:marTop w:val="0"/>
      <w:marBottom w:val="0"/>
      <w:divBdr>
        <w:top w:val="none" w:sz="0" w:space="0" w:color="auto"/>
        <w:left w:val="none" w:sz="0" w:space="0" w:color="auto"/>
        <w:bottom w:val="none" w:sz="0" w:space="0" w:color="auto"/>
        <w:right w:val="none" w:sz="0" w:space="0" w:color="auto"/>
      </w:divBdr>
    </w:div>
    <w:div w:id="1659504556">
      <w:bodyDiv w:val="1"/>
      <w:marLeft w:val="0"/>
      <w:marRight w:val="0"/>
      <w:marTop w:val="0"/>
      <w:marBottom w:val="0"/>
      <w:divBdr>
        <w:top w:val="none" w:sz="0" w:space="0" w:color="auto"/>
        <w:left w:val="none" w:sz="0" w:space="0" w:color="auto"/>
        <w:bottom w:val="none" w:sz="0" w:space="0" w:color="auto"/>
        <w:right w:val="none" w:sz="0" w:space="0" w:color="auto"/>
      </w:divBdr>
    </w:div>
    <w:div w:id="210430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bdf.belgium.be/fr/th%C3%A8mes/uncrpd-convention-relative-aux-droits-des-personnes-handicap%C3%A9e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9FB1CBD8BC5448AD84D3D49B0A335" ma:contentTypeVersion="4" ma:contentTypeDescription="Crée un document." ma:contentTypeScope="" ma:versionID="f96f7575f5d52c653a5414c3f47b9329">
  <xsd:schema xmlns:xsd="http://www.w3.org/2001/XMLSchema" xmlns:xs="http://www.w3.org/2001/XMLSchema" xmlns:p="http://schemas.microsoft.com/office/2006/metadata/properties" xmlns:ns2="8efef712-aac5-4d62-a761-ff1ea6f80f25" targetNamespace="http://schemas.microsoft.com/office/2006/metadata/properties" ma:root="true" ma:fieldsID="e1b9a9a608b8ccbe51b1170ec9b61d77" ns2:_="">
    <xsd:import namespace="8efef712-aac5-4d62-a761-ff1ea6f80f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f712-aac5-4d62-a761-ff1ea6f80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B5A4-9C93-43F3-BF8F-E4E393C25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ef712-aac5-4d62-a761-ff1ea6f80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348DD-0ECD-4ED6-8F4F-9D0D4BA945C6}">
  <ds:schemaRefs>
    <ds:schemaRef ds:uri="http://schemas.microsoft.com/sharepoint/v3/contenttype/forms"/>
  </ds:schemaRefs>
</ds:datastoreItem>
</file>

<file path=customXml/itemProps3.xml><?xml version="1.0" encoding="utf-8"?>
<ds:datastoreItem xmlns:ds="http://schemas.openxmlformats.org/officeDocument/2006/customXml" ds:itemID="{0685C10F-2494-4D0E-8BB3-406E3923196F}">
  <ds:schemaRefs>
    <ds:schemaRef ds:uri="http://schemas.microsoft.com/office/infopath/2007/PartnerControls"/>
    <ds:schemaRef ds:uri="8efef712-aac5-4d62-a761-ff1ea6f80f25"/>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A53376F-2A68-4D34-B3B1-43AAAFAC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7987</Characters>
  <Application>Microsoft Office Word</Application>
  <DocSecurity>0</DocSecurity>
  <Lines>66</Lines>
  <Paragraphs>18</Paragraphs>
  <ScaleCrop>false</ScaleCrop>
  <Company>FOD Sociale Zekerheid / SPF Sécurité Sociale</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Tresegnie Daniel</dc:creator>
  <cp:keywords>, docId:D2ADFD2A93EE86C26A9C90AC16CDB42D</cp:keywords>
  <dc:description/>
  <cp:lastModifiedBy>Van De Perre Frederik</cp:lastModifiedBy>
  <cp:revision>3</cp:revision>
  <dcterms:created xsi:type="dcterms:W3CDTF">2025-09-10T11:45:00Z</dcterms:created>
  <dcterms:modified xsi:type="dcterms:W3CDTF">2025-10-01T13:13:00Z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0x01010064C9FB1CBD8BC5448AD84D3D49B0A335</vt:lpwstr>
  </property>
</Properties>
</file>