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9E694" w14:textId="77777777" w:rsidR="00402521" w:rsidRDefault="00402521">
      <w:pPr>
        <w:rPr>
          <w:lang w:val="fr-BE"/>
        </w:rPr>
      </w:pPr>
    </w:p>
    <w:p w14:paraId="05FE4EB6" w14:textId="77777777" w:rsidR="00362ED8" w:rsidRDefault="00362ED8" w:rsidP="00362ED8">
      <w:pPr>
        <w:rPr>
          <w:sz w:val="24"/>
          <w:szCs w:val="24"/>
          <w:lang w:val="fr-BE"/>
        </w:rPr>
      </w:pPr>
      <w:bookmarkStart w:id="0" w:name="_MailOriginal"/>
    </w:p>
    <w:p w14:paraId="081E54D7" w14:textId="77777777" w:rsidR="00362ED8" w:rsidRDefault="00362ED8" w:rsidP="00362ED8">
      <w:pPr>
        <w:outlineLvl w:val="0"/>
        <w:rPr>
          <w:rFonts w:ascii="Calibri" w:hAnsi="Calibri" w:cs="Calibri"/>
          <w:lang w:val="fr-FR"/>
          <w14:ligatures w14:val="none"/>
        </w:rPr>
      </w:pPr>
      <w:proofErr w:type="spellStart"/>
      <w:r>
        <w:rPr>
          <w:rFonts w:ascii="Calibri" w:hAnsi="Calibri" w:cs="Calibri"/>
          <w:b/>
          <w:bCs/>
          <w:lang w:val="fr-FR"/>
          <w14:ligatures w14:val="none"/>
        </w:rPr>
        <w:t>From</w:t>
      </w:r>
      <w:proofErr w:type="spellEnd"/>
      <w:r>
        <w:rPr>
          <w:rFonts w:ascii="Calibri" w:hAnsi="Calibri" w:cs="Calibri"/>
          <w:b/>
          <w:bCs/>
          <w:lang w:val="fr-FR"/>
          <w14:ligatures w14:val="none"/>
        </w:rPr>
        <w:t>:</w:t>
      </w:r>
      <w:r>
        <w:rPr>
          <w:rFonts w:ascii="Calibri" w:hAnsi="Calibri" w:cs="Calibri"/>
          <w:lang w:val="fr-FR"/>
          <w14:ligatures w14:val="none"/>
        </w:rPr>
        <w:t xml:space="preserve"> </w:t>
      </w:r>
      <w:hyperlink r:id="rId5" w:history="1">
        <w:r>
          <w:rPr>
            <w:rStyle w:val="Lienhypertexte"/>
            <w:rFonts w:ascii="Calibri" w:hAnsi="Calibri" w:cs="Calibri"/>
            <w:lang w:val="fr-FR"/>
            <w14:ligatures w14:val="none"/>
          </w:rPr>
          <w:t>alexis.condette@alteoasbl.be</w:t>
        </w:r>
      </w:hyperlink>
      <w:r>
        <w:rPr>
          <w:rFonts w:ascii="Calibri" w:hAnsi="Calibri" w:cs="Calibri"/>
          <w:lang w:val="fr-FR"/>
          <w14:ligatures w14:val="none"/>
        </w:rPr>
        <w:t xml:space="preserve"> &lt;</w:t>
      </w:r>
      <w:hyperlink r:id="rId6" w:history="1">
        <w:r>
          <w:rPr>
            <w:rStyle w:val="Lienhypertexte"/>
            <w:rFonts w:ascii="Calibri" w:hAnsi="Calibri" w:cs="Calibri"/>
            <w:lang w:val="fr-FR"/>
            <w14:ligatures w14:val="none"/>
          </w:rPr>
          <w:t>alexis.condette@alteoasbl.be</w:t>
        </w:r>
      </w:hyperlink>
      <w:r>
        <w:rPr>
          <w:rFonts w:ascii="Calibri" w:hAnsi="Calibri" w:cs="Calibri"/>
          <w:lang w:val="fr-FR"/>
          <w14:ligatures w14:val="none"/>
        </w:rPr>
        <w:t xml:space="preserve">&gt; </w:t>
      </w:r>
      <w:r>
        <w:rPr>
          <w:rFonts w:ascii="Calibri" w:hAnsi="Calibri" w:cs="Calibri"/>
          <w:lang w:val="fr-FR"/>
          <w14:ligatures w14:val="none"/>
        </w:rPr>
        <w:br/>
      </w:r>
      <w:r>
        <w:rPr>
          <w:rFonts w:ascii="Calibri" w:hAnsi="Calibri" w:cs="Calibri"/>
          <w:b/>
          <w:bCs/>
          <w:lang w:val="fr-FR"/>
          <w14:ligatures w14:val="none"/>
        </w:rPr>
        <w:t>Sent:</w:t>
      </w:r>
      <w:r>
        <w:rPr>
          <w:rFonts w:ascii="Calibri" w:hAnsi="Calibri" w:cs="Calibri"/>
          <w:lang w:val="fr-FR"/>
          <w14:ligatures w14:val="none"/>
        </w:rPr>
        <w:t xml:space="preserve"> </w:t>
      </w:r>
      <w:proofErr w:type="spellStart"/>
      <w:r>
        <w:rPr>
          <w:rFonts w:ascii="Calibri" w:hAnsi="Calibri" w:cs="Calibri"/>
          <w:lang w:val="fr-FR"/>
          <w14:ligatures w14:val="none"/>
        </w:rPr>
        <w:t>Wednesday</w:t>
      </w:r>
      <w:proofErr w:type="spellEnd"/>
      <w:r>
        <w:rPr>
          <w:rFonts w:ascii="Calibri" w:hAnsi="Calibri" w:cs="Calibri"/>
          <w:lang w:val="fr-FR"/>
          <w14:ligatures w14:val="none"/>
        </w:rPr>
        <w:t>, May 21, 2025 3:29 PM</w:t>
      </w:r>
      <w:r>
        <w:rPr>
          <w:rFonts w:ascii="Calibri" w:hAnsi="Calibri" w:cs="Calibri"/>
          <w:lang w:val="fr-FR"/>
          <w14:ligatures w14:val="none"/>
        </w:rPr>
        <w:br/>
      </w:r>
      <w:r>
        <w:rPr>
          <w:rFonts w:ascii="Calibri" w:hAnsi="Calibri" w:cs="Calibri"/>
          <w:b/>
          <w:bCs/>
          <w:lang w:val="fr-FR"/>
          <w14:ligatures w14:val="none"/>
        </w:rPr>
        <w:t>To:</w:t>
      </w:r>
      <w:r>
        <w:rPr>
          <w:rFonts w:ascii="Calibri" w:hAnsi="Calibri" w:cs="Calibri"/>
          <w:lang w:val="fr-FR"/>
          <w14:ligatures w14:val="none"/>
        </w:rPr>
        <w:t xml:space="preserve"> Duchenne Véronique &lt;</w:t>
      </w:r>
      <w:hyperlink r:id="rId7" w:history="1">
        <w:r>
          <w:rPr>
            <w:rStyle w:val="Lienhypertexte"/>
            <w:rFonts w:ascii="Calibri" w:hAnsi="Calibri" w:cs="Calibri"/>
            <w:lang w:val="fr-FR"/>
            <w14:ligatures w14:val="none"/>
          </w:rPr>
          <w:t>Veronique.Duchenne@minsoc.fed.be</w:t>
        </w:r>
      </w:hyperlink>
      <w:r>
        <w:rPr>
          <w:rFonts w:ascii="Calibri" w:hAnsi="Calibri" w:cs="Calibri"/>
          <w:lang w:val="fr-FR"/>
          <w14:ligatures w14:val="none"/>
        </w:rPr>
        <w:t>&gt;; Berlanger Marjorie &lt;</w:t>
      </w:r>
      <w:hyperlink r:id="rId8" w:history="1">
        <w:r>
          <w:rPr>
            <w:rStyle w:val="Lienhypertexte"/>
            <w:rFonts w:ascii="Calibri" w:hAnsi="Calibri" w:cs="Calibri"/>
            <w:lang w:val="fr-FR"/>
            <w14:ligatures w14:val="none"/>
          </w:rPr>
          <w:t>Marjorie.Berlanger@minsoc.fed.be</w:t>
        </w:r>
      </w:hyperlink>
      <w:r>
        <w:rPr>
          <w:rFonts w:ascii="Calibri" w:hAnsi="Calibri" w:cs="Calibri"/>
          <w:lang w:val="fr-FR"/>
          <w14:ligatures w14:val="none"/>
        </w:rPr>
        <w:t>&gt;</w:t>
      </w:r>
      <w:r>
        <w:rPr>
          <w:rFonts w:ascii="Calibri" w:hAnsi="Calibri" w:cs="Calibri"/>
          <w:lang w:val="fr-FR"/>
          <w14:ligatures w14:val="none"/>
        </w:rPr>
        <w:br/>
      </w:r>
      <w:r>
        <w:rPr>
          <w:rFonts w:ascii="Calibri" w:hAnsi="Calibri" w:cs="Calibri"/>
          <w:b/>
          <w:bCs/>
          <w:lang w:val="fr-FR"/>
          <w14:ligatures w14:val="none"/>
        </w:rPr>
        <w:t>Cc:</w:t>
      </w:r>
      <w:r>
        <w:rPr>
          <w:rFonts w:ascii="Calibri" w:hAnsi="Calibri" w:cs="Calibri"/>
          <w:lang w:val="fr-FR"/>
          <w14:ligatures w14:val="none"/>
        </w:rPr>
        <w:t xml:space="preserve"> </w:t>
      </w:r>
      <w:hyperlink r:id="rId9" w:history="1">
        <w:r>
          <w:rPr>
            <w:rStyle w:val="Lienhypertexte"/>
            <w:rFonts w:ascii="Calibri" w:hAnsi="Calibri" w:cs="Calibri"/>
            <w:lang w:val="fr-FR"/>
            <w14:ligatures w14:val="none"/>
          </w:rPr>
          <w:t>gisele.marliere@gmail.com</w:t>
        </w:r>
      </w:hyperlink>
      <w:r>
        <w:rPr>
          <w:rFonts w:ascii="Calibri" w:hAnsi="Calibri" w:cs="Calibri"/>
          <w:lang w:val="fr-FR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lang w:val="fr-FR"/>
          <w14:ligatures w14:val="none"/>
        </w:rPr>
        <w:t>Subject</w:t>
      </w:r>
      <w:proofErr w:type="spellEnd"/>
      <w:r>
        <w:rPr>
          <w:rFonts w:ascii="Calibri" w:hAnsi="Calibri" w:cs="Calibri"/>
          <w:b/>
          <w:bCs/>
          <w:lang w:val="fr-FR"/>
          <w14:ligatures w14:val="none"/>
        </w:rPr>
        <w:t>:</w:t>
      </w:r>
      <w:r>
        <w:rPr>
          <w:rFonts w:ascii="Calibri" w:hAnsi="Calibri" w:cs="Calibri"/>
          <w:lang w:val="fr-FR"/>
          <w14:ligatures w14:val="none"/>
        </w:rPr>
        <w:t xml:space="preserve"> | GT Ethique | 19/05/25 | suites : quelques réflexions</w:t>
      </w:r>
    </w:p>
    <w:p w14:paraId="0EA982D7" w14:textId="77777777" w:rsidR="00362ED8" w:rsidRDefault="00362ED8" w:rsidP="00362ED8">
      <w:pPr>
        <w:rPr>
          <w:lang w:val="fr-BE"/>
        </w:rPr>
      </w:pPr>
    </w:p>
    <w:p w14:paraId="180D3791" w14:textId="77777777" w:rsidR="00362ED8" w:rsidRDefault="00362ED8" w:rsidP="00362ED8">
      <w:pPr>
        <w:rPr>
          <w:lang w:val="fr-FR"/>
        </w:rPr>
      </w:pPr>
      <w:r>
        <w:rPr>
          <w:lang w:val="fr-FR"/>
        </w:rPr>
        <w:t>Bonjour,</w:t>
      </w:r>
    </w:p>
    <w:p w14:paraId="4E1977C3" w14:textId="77777777" w:rsidR="00362ED8" w:rsidRDefault="00362ED8" w:rsidP="00362ED8">
      <w:pPr>
        <w:rPr>
          <w:lang w:val="fr-FR"/>
        </w:rPr>
      </w:pPr>
    </w:p>
    <w:p w14:paraId="4214559F" w14:textId="77777777" w:rsidR="00362ED8" w:rsidRDefault="00362ED8" w:rsidP="00362ED8">
      <w:pPr>
        <w:rPr>
          <w:lang w:val="fr-FR"/>
        </w:rPr>
      </w:pPr>
      <w:r>
        <w:rPr>
          <w:lang w:val="fr-FR"/>
        </w:rPr>
        <w:t xml:space="preserve">Pour faire suite au groupe de travail Ethique qui s’est tenu ce lundi, à la fin de la présentation du Dr PJ Verheyden nous avons eu peu de temps pour les échanges. Aussi, je vous partage quelques réflexions / questionnements que je n’ai pu partager en séance. </w:t>
      </w:r>
      <w:r>
        <w:rPr>
          <w:lang w:val="fr-FR"/>
        </w:rPr>
        <w:br/>
        <w:t>A voir si ces quelques réflexions peuvent vous être utiles pour la suite des travaux.</w:t>
      </w:r>
      <w:r>
        <w:rPr>
          <w:lang w:val="fr-FR"/>
        </w:rPr>
        <w:br/>
      </w:r>
      <w:r>
        <w:rPr>
          <w:lang w:val="fr-FR"/>
        </w:rPr>
        <w:br/>
      </w:r>
      <w:r>
        <w:rPr>
          <w:u w:val="single"/>
          <w:lang w:val="fr-FR"/>
        </w:rPr>
        <w:t>Le médecin est garant de la tenue du dossier médical</w:t>
      </w:r>
      <w:r>
        <w:rPr>
          <w:lang w:val="fr-FR"/>
        </w:rPr>
        <w:t>.</w:t>
      </w:r>
      <w:r>
        <w:rPr>
          <w:lang w:val="fr-FR"/>
        </w:rPr>
        <w:br/>
        <w:t>A ce titre il était indiqué qu’il arrive que le dossier médical soit conséquent (certains dossiers feraient 800 pages). Dès lors, jusqu’où l’IA pourrait être un outil efficace d’aide à la production d’un résumé ?</w:t>
      </w:r>
    </w:p>
    <w:p w14:paraId="2125902D" w14:textId="77777777" w:rsidR="00362ED8" w:rsidRDefault="00362ED8" w:rsidP="00362ED8">
      <w:pPr>
        <w:rPr>
          <w:lang w:val="fr-FR"/>
        </w:rPr>
      </w:pPr>
      <w:r>
        <w:rPr>
          <w:lang w:val="fr-FR"/>
        </w:rPr>
        <w:t>Aussi, comment le médecin peut garantir que la production d’un résumé de dossier médical de 800 pages n’omette pas certains éléments essentiels ? Par exemple, l’IA est-elle suffisamment performante pour pouvoir ressortir une information récente et unique au regard d’une masse d’informations « caduques » ?</w:t>
      </w:r>
    </w:p>
    <w:p w14:paraId="3918D8E7" w14:textId="77777777" w:rsidR="00362ED8" w:rsidRDefault="00362ED8" w:rsidP="00362ED8">
      <w:pPr>
        <w:rPr>
          <w:lang w:val="fr-FR"/>
        </w:rPr>
      </w:pPr>
      <w:r>
        <w:rPr>
          <w:rFonts w:ascii="Trebuchet MS" w:hAnsi="Trebuchet MS"/>
          <w:sz w:val="20"/>
          <w:szCs w:val="20"/>
          <w:lang w:val="fr-FR"/>
        </w:rPr>
        <w:br/>
      </w:r>
      <w:r>
        <w:rPr>
          <w:u w:val="single"/>
          <w:lang w:val="fr-FR"/>
        </w:rPr>
        <w:t>L’IA a un cout, qui paye les projets d’IA ? (Gouvernance en lien avec la question de Madame Marlière)</w:t>
      </w:r>
      <w:r>
        <w:rPr>
          <w:lang w:val="fr-FR"/>
        </w:rPr>
        <w:br/>
        <w:t>Les projets d’IA sont le plus souvent onéreux car nécessitent l’utilisation de données de santé payantes.</w:t>
      </w:r>
    </w:p>
    <w:p w14:paraId="0945E57F" w14:textId="77777777" w:rsidR="00362ED8" w:rsidRDefault="00362ED8" w:rsidP="00362ED8">
      <w:pPr>
        <w:rPr>
          <w:lang w:val="fr-FR"/>
        </w:rPr>
      </w:pPr>
      <w:r>
        <w:rPr>
          <w:lang w:val="fr-FR"/>
        </w:rPr>
        <w:t xml:space="preserve">Dès lors, un patient bénéficie-t-il de la même qualité de soin indépendamment de son lieu de prise en charge hospitalière ? </w:t>
      </w:r>
    </w:p>
    <w:p w14:paraId="5981E8DD" w14:textId="77777777" w:rsidR="00362ED8" w:rsidRDefault="00362ED8" w:rsidP="00362ED8">
      <w:pPr>
        <w:pStyle w:val="Paragraphedeliste"/>
        <w:numPr>
          <w:ilvl w:val="0"/>
          <w:numId w:val="1"/>
        </w:numPr>
        <w:contextualSpacing w:val="0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Si le projet se réfléchit au sein d’un hôpital, cela reste difficile à imaginer car les protocoles seraient différents. </w:t>
      </w:r>
    </w:p>
    <w:p w14:paraId="67CF5B2C" w14:textId="77777777" w:rsidR="00362ED8" w:rsidRDefault="00362ED8" w:rsidP="00362ED8">
      <w:pPr>
        <w:pStyle w:val="Paragraphedeliste"/>
        <w:numPr>
          <w:ilvl w:val="0"/>
          <w:numId w:val="1"/>
        </w:numPr>
        <w:contextualSpacing w:val="0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Si le projet se réfléchit au sein d’un groupe pharmaceutique (pas neutre), le bénéfice pourrait être partagé sur plusieurs lieux de soins.</w:t>
      </w:r>
    </w:p>
    <w:p w14:paraId="18E98E9D" w14:textId="77777777" w:rsidR="00362ED8" w:rsidRDefault="00362ED8" w:rsidP="00362ED8">
      <w:pPr>
        <w:spacing w:after="240"/>
        <w:rPr>
          <w:lang w:val="fr-FR"/>
        </w:rPr>
      </w:pPr>
      <w:r>
        <w:rPr>
          <w:lang w:val="fr-FR"/>
        </w:rPr>
        <w:t>Cela rejoint le besoin rapide que l’Etat (les Etats) puissent rapidement mettre en place une gouvernance de l’IA dans les politiques de santé.</w:t>
      </w:r>
    </w:p>
    <w:p w14:paraId="5310D887" w14:textId="77777777" w:rsidR="00362ED8" w:rsidRDefault="00362ED8" w:rsidP="00362ED8">
      <w:pPr>
        <w:rPr>
          <w:u w:val="single"/>
          <w:lang w:val="fr-FR"/>
        </w:rPr>
      </w:pPr>
      <w:r>
        <w:rPr>
          <w:u w:val="single"/>
          <w:lang w:val="fr-FR"/>
        </w:rPr>
        <w:t>A qui appartient la donnée de santé ?</w:t>
      </w:r>
    </w:p>
    <w:p w14:paraId="484F956C" w14:textId="77777777" w:rsidR="00362ED8" w:rsidRDefault="00362ED8" w:rsidP="00362ED8">
      <w:pPr>
        <w:rPr>
          <w:lang w:val="fr-FR"/>
        </w:rPr>
      </w:pPr>
      <w:r>
        <w:rPr>
          <w:lang w:val="fr-FR"/>
        </w:rPr>
        <w:t>A qui appartient la donnée de santé produite ? patient, hôpital, Etat ?</w:t>
      </w:r>
      <w:r>
        <w:rPr>
          <w:lang w:val="fr-FR"/>
        </w:rPr>
        <w:br/>
      </w:r>
      <w:r>
        <w:rPr>
          <w:lang w:val="fr-FR"/>
        </w:rPr>
        <w:br/>
      </w:r>
      <w:r>
        <w:rPr>
          <w:u w:val="single"/>
          <w:lang w:val="fr-FR"/>
        </w:rPr>
        <w:t>Accord du patient quant à l’utilisation de ses données.</w:t>
      </w:r>
      <w:r>
        <w:rPr>
          <w:lang w:val="fr-FR"/>
        </w:rPr>
        <w:br/>
        <w:t>Principalement 2 types d’IA furent évoquées : l’IA générative et l’IA plus étroite. Tous deux sont-elles interconnectées au-delà des serveurs de l’hôpital ou fonctionnent-elles exclusivement en interne ?</w:t>
      </w:r>
    </w:p>
    <w:p w14:paraId="30243D08" w14:textId="77777777" w:rsidR="00362ED8" w:rsidRDefault="00362ED8" w:rsidP="00362ED8">
      <w:pPr>
        <w:rPr>
          <w:lang w:val="fr-FR"/>
        </w:rPr>
      </w:pPr>
      <w:r>
        <w:rPr>
          <w:lang w:val="fr-FR"/>
        </w:rPr>
        <w:t>Autrement dit, lorsque le patient donne son accord quant à l’utilisation de ses données de santé entre professionnels de soins, probablement n’identifie-t-il pas jusqu’où les informations collectées par son médecin lors de la consultation peuvent potentiellement aller ?</w:t>
      </w:r>
    </w:p>
    <w:p w14:paraId="79462BDA" w14:textId="77777777" w:rsidR="00362ED8" w:rsidRDefault="00362ED8" w:rsidP="00362ED8">
      <w:pPr>
        <w:pStyle w:val="Paragraphedeliste"/>
        <w:numPr>
          <w:ilvl w:val="0"/>
          <w:numId w:val="1"/>
        </w:numPr>
        <w:contextualSpacing w:val="0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IA générative : Simple exemple, un médecin qui utilise l’IA générative pour réaliser le compte rendu de sa consultation, l’IA reste-t-elle en interne ou utilise-t-elle des serveurs hors hôpitaux ? (autrement dit, la simple génération du compte rendu médical, </w:t>
      </w:r>
      <w:r>
        <w:rPr>
          <w:rFonts w:eastAsia="Times New Roman"/>
          <w:lang w:val="fr-FR"/>
        </w:rPr>
        <w:lastRenderedPageBreak/>
        <w:t>la reconnaissance vocale + IA utilisent des serveurs exclusivement hospitaliers ?). Ces serveurs ne pourraient il pas revendre de la donnée (de santé) ?</w:t>
      </w:r>
    </w:p>
    <w:p w14:paraId="140D4322" w14:textId="77777777" w:rsidR="00362ED8" w:rsidRDefault="00362ED8" w:rsidP="00362ED8">
      <w:pPr>
        <w:pStyle w:val="Paragraphedeliste"/>
        <w:numPr>
          <w:ilvl w:val="0"/>
          <w:numId w:val="1"/>
        </w:numPr>
        <w:contextualSpacing w:val="0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IA plus étroite, à contrario, la donnée de santé analysée reste-t-elle quant à elle au « sein de l’hôpital » ?</w:t>
      </w:r>
    </w:p>
    <w:p w14:paraId="5BD5296B" w14:textId="77777777" w:rsidR="00362ED8" w:rsidRDefault="00362ED8" w:rsidP="00362ED8">
      <w:pPr>
        <w:pStyle w:val="Paragraphedeliste"/>
        <w:rPr>
          <w:lang w:val="fr-FR"/>
        </w:rPr>
      </w:pPr>
    </w:p>
    <w:p w14:paraId="1BA2E54F" w14:textId="77777777" w:rsidR="00362ED8" w:rsidRDefault="00362ED8" w:rsidP="00362ED8">
      <w:pPr>
        <w:rPr>
          <w:lang w:val="fr-FR"/>
        </w:rPr>
      </w:pPr>
      <w:r>
        <w:rPr>
          <w:u w:val="single"/>
          <w:lang w:val="fr-FR"/>
        </w:rPr>
        <w:t>Anonymisation des données et garanties.</w:t>
      </w:r>
    </w:p>
    <w:p w14:paraId="5343CFB4" w14:textId="77777777" w:rsidR="00362ED8" w:rsidRDefault="00362ED8" w:rsidP="00362ED8">
      <w:pPr>
        <w:rPr>
          <w:lang w:val="fr-FR"/>
        </w:rPr>
      </w:pPr>
      <w:r>
        <w:rPr>
          <w:lang w:val="fr-FR"/>
        </w:rPr>
        <w:t>L’utilisation des données envoyées vers les IA génératives doivent être anonymisées.</w:t>
      </w:r>
    </w:p>
    <w:p w14:paraId="6B841B95" w14:textId="77777777" w:rsidR="00362ED8" w:rsidRDefault="00362ED8" w:rsidP="00362ED8">
      <w:pPr>
        <w:rPr>
          <w:lang w:val="fr-FR"/>
        </w:rPr>
      </w:pPr>
      <w:r>
        <w:rPr>
          <w:lang w:val="fr-FR"/>
        </w:rPr>
        <w:t xml:space="preserve">Quelles sont les limites de cette garantie d’anonymisation notamment depuis l’arrivée de l’IA ? Autrement dit l’on sait qu’il y a des firmes qui recoupent les données. Or en rachetant les données de santé, la puissance des IA ne </w:t>
      </w:r>
      <w:proofErr w:type="spellStart"/>
      <w:r>
        <w:rPr>
          <w:lang w:val="fr-FR"/>
        </w:rPr>
        <w:t>pourrait elle</w:t>
      </w:r>
      <w:proofErr w:type="spellEnd"/>
      <w:r>
        <w:rPr>
          <w:lang w:val="fr-FR"/>
        </w:rPr>
        <w:t xml:space="preserve"> pas contribuer à rompre cette anonymisation ?</w:t>
      </w:r>
    </w:p>
    <w:p w14:paraId="4623123F" w14:textId="77777777" w:rsidR="00362ED8" w:rsidRDefault="00362ED8" w:rsidP="00362ED8">
      <w:pPr>
        <w:rPr>
          <w:lang w:val="fr-FR"/>
        </w:rPr>
      </w:pPr>
    </w:p>
    <w:p w14:paraId="4A7FE31D" w14:textId="77777777" w:rsidR="00362ED8" w:rsidRDefault="00362ED8" w:rsidP="00362ED8">
      <w:pPr>
        <w:rPr>
          <w:lang w:val="fr-FR"/>
        </w:rPr>
      </w:pPr>
      <w:r>
        <w:rPr>
          <w:lang w:val="fr-FR"/>
        </w:rPr>
        <w:t>Quoiqu’il en soit, merci pour l’organisation de ces matinées, pour la qualité des intervenants / interventions.</w:t>
      </w:r>
      <w:r>
        <w:rPr>
          <w:lang w:val="fr-FR"/>
        </w:rPr>
        <w:br/>
      </w:r>
      <w:r>
        <w:rPr>
          <w:lang w:val="fr-FR"/>
        </w:rPr>
        <w:br/>
        <w:t>En vous souhaitant une agréable journée,</w:t>
      </w:r>
    </w:p>
    <w:p w14:paraId="27389C6A" w14:textId="77777777" w:rsidR="00362ED8" w:rsidRDefault="00362ED8" w:rsidP="00362ED8">
      <w:pPr>
        <w:spacing w:after="240"/>
        <w:rPr>
          <w:lang w:val="fr-FR"/>
        </w:rPr>
      </w:pPr>
    </w:p>
    <w:p w14:paraId="41D54FEC" w14:textId="77777777" w:rsidR="00362ED8" w:rsidRDefault="00362ED8" w:rsidP="00362ED8">
      <w:pPr>
        <w:rPr>
          <w:rFonts w:ascii="Trebuchet MS" w:hAnsi="Trebuchet MS"/>
          <w:sz w:val="20"/>
          <w:szCs w:val="20"/>
          <w:lang w:val="fr-F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226"/>
        <w:gridCol w:w="226"/>
        <w:gridCol w:w="4728"/>
      </w:tblGrid>
      <w:tr w:rsidR="00362ED8" w14:paraId="17AF1A49" w14:textId="77777777" w:rsidTr="00362ED8">
        <w:trPr>
          <w:trHeight w:val="1701"/>
        </w:trPr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7DA2A" w14:textId="518A6A95" w:rsidR="00362ED8" w:rsidRDefault="00362ED8">
            <w:pPr>
              <w:rPr>
                <w:rFonts w:ascii="Arial" w:hAnsi="Arial" w:cs="Arial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  <w14:ligatures w14:val="none"/>
              </w:rPr>
              <w:drawing>
                <wp:inline distT="0" distB="0" distL="0" distR="0" wp14:anchorId="4C801778" wp14:editId="1EEF42F8">
                  <wp:extent cx="2305050" cy="771525"/>
                  <wp:effectExtent l="0" t="0" r="0" b="9525"/>
                  <wp:docPr id="643074368" name="Image 5" descr="Une image contenant texte, logo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74368" name="Image 5" descr="Une image contenant texte, logo, Police, Graphique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5766" w14:textId="77777777" w:rsidR="00362ED8" w:rsidRDefault="00362ED8">
            <w:pPr>
              <w:rPr>
                <w:rFonts w:ascii="Arial" w:hAnsi="Arial" w:cs="Arial"/>
                <w:b/>
                <w:bCs/>
                <w:color w:val="00343F"/>
                <w:sz w:val="24"/>
                <w:szCs w:val="24"/>
                <w:lang w:eastAsia="fr-FR"/>
              </w:rPr>
            </w:pPr>
          </w:p>
        </w:tc>
        <w:tc>
          <w:tcPr>
            <w:tcW w:w="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AB3C" w14:textId="77777777" w:rsidR="00362ED8" w:rsidRDefault="00362ED8">
            <w:pPr>
              <w:rPr>
                <w:rFonts w:ascii="Trebuchet MS" w:hAnsi="Trebuchet MS"/>
                <w:b/>
                <w:bCs/>
                <w:color w:val="00343F"/>
                <w:sz w:val="24"/>
                <w:szCs w:val="24"/>
                <w:lang w:eastAsia="fr-FR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0C10" w14:textId="77777777" w:rsidR="00362ED8" w:rsidRPr="00362ED8" w:rsidRDefault="00362ED8">
            <w:pPr>
              <w:rPr>
                <w:rFonts w:ascii="Trebuchet MS" w:hAnsi="Trebuchet MS"/>
                <w:b/>
                <w:bCs/>
                <w:color w:val="0E2841"/>
                <w:sz w:val="24"/>
                <w:szCs w:val="24"/>
                <w:lang w:val="fr-BE" w:eastAsia="fr-FR"/>
              </w:rPr>
            </w:pPr>
            <w:r w:rsidRPr="00362ED8">
              <w:rPr>
                <w:rFonts w:ascii="Trebuchet MS" w:hAnsi="Trebuchet MS"/>
                <w:b/>
                <w:bCs/>
                <w:color w:val="0E2841"/>
                <w:sz w:val="24"/>
                <w:szCs w:val="24"/>
                <w:lang w:val="fr-BE" w:eastAsia="fr-FR"/>
              </w:rPr>
              <w:t>Alexis Condette</w:t>
            </w:r>
          </w:p>
          <w:p w14:paraId="5BD3B7E6" w14:textId="77777777" w:rsidR="00362ED8" w:rsidRPr="00362ED8" w:rsidRDefault="00362ED8">
            <w:pPr>
              <w:rPr>
                <w:rFonts w:ascii="Trebuchet MS" w:hAnsi="Trebuchet MS"/>
                <w:color w:val="0E2841"/>
                <w:sz w:val="18"/>
                <w:szCs w:val="18"/>
                <w:lang w:val="fr-BE" w:eastAsia="fr-FR"/>
              </w:rPr>
            </w:pPr>
            <w:r w:rsidRPr="00362ED8">
              <w:rPr>
                <w:rFonts w:ascii="Trebuchet MS" w:hAnsi="Trebuchet MS"/>
                <w:color w:val="0E2841"/>
                <w:sz w:val="18"/>
                <w:szCs w:val="18"/>
                <w:lang w:val="fr-BE" w:eastAsia="fr-FR"/>
              </w:rPr>
              <w:t>Coordinateur thématiques | 0475 80 02 49</w:t>
            </w:r>
          </w:p>
          <w:p w14:paraId="6442D695" w14:textId="77777777" w:rsidR="00362ED8" w:rsidRPr="00362ED8" w:rsidRDefault="00362ED8">
            <w:pPr>
              <w:rPr>
                <w:rFonts w:ascii="Trebuchet MS" w:hAnsi="Trebuchet MS"/>
                <w:color w:val="0E2841"/>
                <w:sz w:val="12"/>
                <w:szCs w:val="12"/>
                <w:lang w:val="fr-BE" w:eastAsia="fr-FR"/>
              </w:rPr>
            </w:pPr>
          </w:p>
          <w:p w14:paraId="732EFEC6" w14:textId="77777777" w:rsidR="00362ED8" w:rsidRPr="00362ED8" w:rsidRDefault="00362ED8">
            <w:pPr>
              <w:rPr>
                <w:rFonts w:ascii="Trebuchet MS" w:hAnsi="Trebuchet MS"/>
                <w:color w:val="0E2841"/>
                <w:sz w:val="18"/>
                <w:szCs w:val="18"/>
                <w:lang w:val="fr-BE" w:eastAsia="fr-FR"/>
              </w:rPr>
            </w:pPr>
            <w:hyperlink r:id="rId11" w:history="1">
              <w:r w:rsidRPr="00362ED8">
                <w:rPr>
                  <w:rStyle w:val="Lienhypertexte"/>
                  <w:rFonts w:ascii="Trebuchet MS" w:hAnsi="Trebuchet MS"/>
                  <w:color w:val="0E2841"/>
                  <w:sz w:val="18"/>
                  <w:szCs w:val="18"/>
                  <w:lang w:val="fr-BE" w:eastAsia="fr-FR"/>
                </w:rPr>
                <w:t>info@alteoasbl.be</w:t>
              </w:r>
            </w:hyperlink>
            <w:r w:rsidRPr="00362ED8">
              <w:rPr>
                <w:rFonts w:ascii="Trebuchet MS" w:hAnsi="Trebuchet MS"/>
                <w:color w:val="0E2841"/>
                <w:sz w:val="18"/>
                <w:szCs w:val="18"/>
                <w:lang w:val="fr-BE" w:eastAsia="fr-FR"/>
              </w:rPr>
              <w:t xml:space="preserve"> - 081 237 237</w:t>
            </w:r>
            <w:r w:rsidRPr="00362ED8">
              <w:rPr>
                <w:rFonts w:ascii="Trebuchet MS" w:hAnsi="Trebuchet MS"/>
                <w:color w:val="0E2841"/>
                <w:sz w:val="18"/>
                <w:szCs w:val="18"/>
                <w:lang w:val="fr-BE" w:eastAsia="fr-FR"/>
              </w:rPr>
              <w:br/>
              <w:t>Courrier : Place du XX Août 38, 4000 Liège</w:t>
            </w:r>
          </w:p>
          <w:p w14:paraId="6CF0DA4D" w14:textId="77777777" w:rsidR="00362ED8" w:rsidRPr="00362ED8" w:rsidRDefault="00362ED8">
            <w:pPr>
              <w:rPr>
                <w:rFonts w:ascii="Trebuchet MS" w:hAnsi="Trebuchet MS"/>
                <w:sz w:val="18"/>
                <w:szCs w:val="18"/>
                <w:lang w:val="fr-BE" w:eastAsia="fr-FR"/>
              </w:rPr>
            </w:pPr>
          </w:p>
          <w:p w14:paraId="6EF3BD39" w14:textId="3172CD46" w:rsidR="00362ED8" w:rsidRDefault="00362ED8">
            <w:pPr>
              <w:rPr>
                <w:rFonts w:ascii="Trebuchet MS" w:hAnsi="Trebuchet MS"/>
                <w:color w:val="006AB3"/>
                <w:sz w:val="20"/>
                <w:szCs w:val="20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  <w14:ligatures w14:val="none"/>
              </w:rPr>
              <w:drawing>
                <wp:inline distT="0" distB="0" distL="0" distR="0" wp14:anchorId="691147A9" wp14:editId="6743DC99">
                  <wp:extent cx="247650" cy="190500"/>
                  <wp:effectExtent l="0" t="0" r="0" b="0"/>
                  <wp:docPr id="1014356550" name="Imag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eastAsia="fr-FR"/>
              </w:rPr>
              <w:t>    </w:t>
            </w:r>
            <w:r>
              <w:rPr>
                <w:noProof/>
                <w:sz w:val="24"/>
                <w:szCs w:val="24"/>
                <w:lang w:eastAsia="fr-FR"/>
                <w14:ligatures w14:val="none"/>
              </w:rPr>
              <w:drawing>
                <wp:inline distT="0" distB="0" distL="0" distR="0" wp14:anchorId="56F6FBE7" wp14:editId="262FF33C">
                  <wp:extent cx="200025" cy="200025"/>
                  <wp:effectExtent l="0" t="0" r="9525" b="9525"/>
                  <wp:docPr id="350358131" name="Image 3" descr="Une image contenant noir, obscurité&#10;&#10;Le contenu généré par l’IA peut être incorrect.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358131" name="Image 3" descr="Une image contenant noir, obscurité&#10;&#10;Le contenu généré par l’IA peut être incorrect.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eastAsia="fr-FR"/>
              </w:rPr>
              <w:t>    </w:t>
            </w:r>
            <w:r>
              <w:rPr>
                <w:noProof/>
                <w:sz w:val="24"/>
                <w:szCs w:val="24"/>
                <w:lang w:eastAsia="fr-FR"/>
                <w14:ligatures w14:val="none"/>
              </w:rPr>
              <w:drawing>
                <wp:inline distT="0" distB="0" distL="0" distR="0" wp14:anchorId="5C2AC121" wp14:editId="1068F948">
                  <wp:extent cx="190500" cy="190500"/>
                  <wp:effectExtent l="0" t="0" r="0" b="0"/>
                  <wp:docPr id="1614542815" name="Image 2" descr="Une image contenant noir, obscurité&#10;&#10;Description générée automatiquement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Une image contenant noir, obscurité&#10;&#10;Description générée automatiquement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eastAsia="fr-FR"/>
              </w:rPr>
              <w:t xml:space="preserve">   </w:t>
            </w:r>
          </w:p>
        </w:tc>
      </w:tr>
    </w:tbl>
    <w:p w14:paraId="33902F9F" w14:textId="11876062" w:rsidR="00362ED8" w:rsidRDefault="00362ED8" w:rsidP="00362ED8">
      <w:pPr>
        <w:rPr>
          <w:sz w:val="24"/>
          <w:szCs w:val="24"/>
          <w:lang w:val="fr-BE" w:eastAsia="fr-FR"/>
        </w:rPr>
      </w:pPr>
      <w:r>
        <w:rPr>
          <w:noProof/>
          <w:color w:val="0000FF"/>
          <w:sz w:val="24"/>
          <w:szCs w:val="24"/>
          <w:lang w:val="fr-BE" w:eastAsia="fr-FR"/>
          <w14:ligatures w14:val="none"/>
        </w:rPr>
        <w:drawing>
          <wp:inline distT="0" distB="0" distL="0" distR="0" wp14:anchorId="6F4004A0" wp14:editId="5BE8E368">
            <wp:extent cx="5731510" cy="2143760"/>
            <wp:effectExtent l="0" t="0" r="2540" b="8890"/>
            <wp:docPr id="376736615" name="Image 1" descr="Une image contenant texte, Visage humain, habits, capture d’écran&#10;&#10;Le contenu généré par l’IA peut être incorrect.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36615" name="Image 1" descr="Une image contenant texte, Visage humain, habits, capture d’écran&#10;&#10;Le contenu généré par l’IA peut être incorrect.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1CA88BF" w14:textId="77777777" w:rsidR="00362ED8" w:rsidRPr="00362ED8" w:rsidRDefault="00362ED8">
      <w:pPr>
        <w:rPr>
          <w:lang w:val="fr-BE"/>
        </w:rPr>
      </w:pPr>
    </w:p>
    <w:sectPr w:rsidR="00362ED8" w:rsidRPr="00362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594B"/>
    <w:multiLevelType w:val="hybridMultilevel"/>
    <w:tmpl w:val="D3727082"/>
    <w:lvl w:ilvl="0" w:tplc="AF40E026">
      <w:start w:val="3"/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3158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D8"/>
    <w:rsid w:val="00362ED8"/>
    <w:rsid w:val="00402521"/>
    <w:rsid w:val="004D0ED2"/>
    <w:rsid w:val="0092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143A"/>
  <w15:chartTrackingRefBased/>
  <w15:docId w15:val="{01A6A72B-6D22-464F-B2D6-CA5A1E95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D8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62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2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2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2E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2E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2E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2E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M2">
    <w:name w:val="Style M2"/>
    <w:basedOn w:val="Normal"/>
    <w:link w:val="StyleM2Car"/>
    <w:autoRedefine/>
    <w:qFormat/>
    <w:rsid w:val="00402521"/>
    <w:pPr>
      <w:spacing w:before="160"/>
      <w:jc w:val="center"/>
    </w:pPr>
    <w:rPr>
      <w:b/>
      <w:bCs/>
      <w:sz w:val="28"/>
      <w:szCs w:val="28"/>
      <w:lang w:val="fr-BE"/>
    </w:rPr>
  </w:style>
  <w:style w:type="character" w:customStyle="1" w:styleId="StyleM2Car">
    <w:name w:val="Style M2 Car"/>
    <w:basedOn w:val="Policepardfaut"/>
    <w:link w:val="StyleM2"/>
    <w:rsid w:val="00402521"/>
    <w:rPr>
      <w:b/>
      <w:bCs/>
      <w:sz w:val="28"/>
      <w:szCs w:val="28"/>
      <w:lang w:val="fr-BE"/>
    </w:rPr>
  </w:style>
  <w:style w:type="paragraph" w:customStyle="1" w:styleId="StyleM3">
    <w:name w:val="Style M3"/>
    <w:basedOn w:val="Normal"/>
    <w:link w:val="StyleM3Car"/>
    <w:autoRedefine/>
    <w:qFormat/>
    <w:rsid w:val="00402521"/>
    <w:pPr>
      <w:spacing w:before="360" w:after="120"/>
    </w:pPr>
    <w:rPr>
      <w:i/>
      <w:iCs/>
      <w:lang w:val="fr-BE"/>
    </w:rPr>
  </w:style>
  <w:style w:type="character" w:customStyle="1" w:styleId="StyleM3Car">
    <w:name w:val="Style M3 Car"/>
    <w:basedOn w:val="Policepardfaut"/>
    <w:link w:val="StyleM3"/>
    <w:rsid w:val="00402521"/>
    <w:rPr>
      <w:i/>
      <w:iCs/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362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2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2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2E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2E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2E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2E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2E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2E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2E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2E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2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2E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2E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2E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2ED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2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2ED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2ED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362ED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orie.Berlanger@minsoc.fed.be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forms.office.com/pages/responsepage.aspx?id=wEHfGzRHKE6yVCwe5jrp-Yj57xi8jnlJp5s7LV0TkjFUMUczTjBWUDdNRzVVME5KODZZSlZWTUtNTC4u&amp;origin=lprLink&amp;route=shortur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eronique.Duchenne@minsoc.fed.be" TargetMode="External"/><Relationship Id="rId12" Type="http://schemas.openxmlformats.org/officeDocument/2006/relationships/hyperlink" Target="https://www.youtube.com/@alteo_asbl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alteoasbl.b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lexis.condette@alteoasbl.be" TargetMode="External"/><Relationship Id="rId11" Type="http://schemas.openxmlformats.org/officeDocument/2006/relationships/hyperlink" Target="mailto:info@alteoasbl.be" TargetMode="External"/><Relationship Id="rId5" Type="http://schemas.openxmlformats.org/officeDocument/2006/relationships/hyperlink" Target="mailto:alexis.condette@alteoasbl.be" TargetMode="Externa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gisele.marliere@gmail.com" TargetMode="External"/><Relationship Id="rId14" Type="http://schemas.openxmlformats.org/officeDocument/2006/relationships/hyperlink" Target="https://www.facebook.com/alteoasb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Dossin Muriel</dc:creator>
  <cp:keywords/>
  <dc:description/>
  <cp:lastModifiedBy>Dossin Muriel</cp:lastModifiedBy>
  <cp:revision>2</cp:revision>
  <dcterms:created xsi:type="dcterms:W3CDTF">2025-05-21T14:08:00Z</dcterms:created>
  <dcterms:modified xsi:type="dcterms:W3CDTF">2025-05-21T14:08:00Z</dcterms:modified>
</cp:coreProperties>
</file>