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2BB4FCB4" w:rsidR="006A3DA1" w:rsidRPr="00587A82" w:rsidRDefault="002D499A" w:rsidP="006A3DA1">
      <w:pPr>
        <w:jc w:val="center"/>
        <w:rPr>
          <w:b/>
          <w:bCs/>
          <w:sz w:val="36"/>
          <w:szCs w:val="36"/>
          <w:u w:val="single"/>
        </w:rPr>
      </w:pPr>
      <w:r w:rsidRPr="00587A82">
        <w:rPr>
          <w:b/>
          <w:bCs/>
          <w:sz w:val="36"/>
          <w:szCs w:val="36"/>
          <w:u w:val="single"/>
        </w:rPr>
        <w:t>Voorbereidende fiche voor het Federaal Plan Armoedebestrijding – thema « koopkracht</w:t>
      </w:r>
      <w:r w:rsidR="006002A7" w:rsidRPr="00587A82">
        <w:rPr>
          <w:b/>
          <w:bCs/>
          <w:sz w:val="36"/>
          <w:szCs w:val="36"/>
          <w:u w:val="single"/>
        </w:rPr>
        <w:t>»</w:t>
      </w:r>
    </w:p>
    <w:p w14:paraId="2BB2403A" w14:textId="77777777" w:rsidR="00CB576F" w:rsidRDefault="00CB576F" w:rsidP="00CB576F">
      <w:pPr>
        <w:tabs>
          <w:tab w:val="left" w:pos="1260"/>
        </w:tabs>
        <w:jc w:val="both"/>
      </w:pPr>
      <w:bookmarkStart w:id="0" w:name="_Hlk200117450"/>
      <w:r w:rsidRPr="00CB576F">
        <w:t>Overeenkomstig de wet van 9 oktober 2023 moet er binnen twaalf maanden na de installatie van de Ministerraad een federaal plan ter bestrijding van armoede worden aangenomen, met als uiterste datum 2 februari 2026.</w:t>
      </w:r>
    </w:p>
    <w:p w14:paraId="489D4008" w14:textId="0B3CFE17" w:rsidR="00CB576F" w:rsidRPr="00CB576F" w:rsidRDefault="00CB576F" w:rsidP="00CB576F">
      <w:pPr>
        <w:tabs>
          <w:tab w:val="left" w:pos="1260"/>
        </w:tabs>
      </w:pPr>
      <w:r w:rsidRPr="00CB576F">
        <w:t>In dit kader heeft het kabinet van minister Vandenbroucke, bevoegd voor armoedebestrijding, enkele belangrijke krachtlijnen vastgelegd:</w:t>
      </w:r>
    </w:p>
    <w:p w14:paraId="53AE5FC7" w14:textId="77777777" w:rsidR="00CB576F" w:rsidRPr="00CB576F" w:rsidRDefault="00CB576F" w:rsidP="00CB576F">
      <w:pPr>
        <w:tabs>
          <w:tab w:val="left" w:pos="1260"/>
        </w:tabs>
        <w:spacing w:after="0"/>
        <w:jc w:val="both"/>
      </w:pPr>
      <w:r w:rsidRPr="00CB576F">
        <w:t xml:space="preserve">1.           De integratie van eenieder in een inclusieve samenleving: </w:t>
      </w:r>
    </w:p>
    <w:p w14:paraId="5E1F7D90" w14:textId="7920F4E5" w:rsidR="00CB576F" w:rsidRPr="00CB576F" w:rsidRDefault="00CB576F" w:rsidP="00CB576F">
      <w:pPr>
        <w:tabs>
          <w:tab w:val="left" w:pos="1260"/>
        </w:tabs>
        <w:spacing w:after="0"/>
        <w:ind w:left="708"/>
        <w:jc w:val="both"/>
      </w:pPr>
      <w:r w:rsidRPr="00CB576F">
        <w:t>a.</w:t>
      </w:r>
      <w:r>
        <w:t xml:space="preserve"> </w:t>
      </w:r>
      <w:r w:rsidRPr="00CB576F">
        <w:t>Een job als dam tegen armoede</w:t>
      </w:r>
    </w:p>
    <w:p w14:paraId="1FB5E212" w14:textId="77777777" w:rsidR="00CB576F" w:rsidRPr="00CB576F" w:rsidRDefault="00CB576F" w:rsidP="00CB576F">
      <w:pPr>
        <w:tabs>
          <w:tab w:val="left" w:pos="1260"/>
        </w:tabs>
        <w:spacing w:after="0"/>
        <w:ind w:left="708"/>
        <w:jc w:val="both"/>
      </w:pPr>
      <w:r w:rsidRPr="00CB576F">
        <w:t>b. Een sterke sociale zekerheid als dam tegen armoede</w:t>
      </w:r>
    </w:p>
    <w:p w14:paraId="1FAE86D6" w14:textId="77777777" w:rsidR="00CB576F" w:rsidRPr="00CB576F" w:rsidRDefault="00CB576F" w:rsidP="00CB576F">
      <w:pPr>
        <w:tabs>
          <w:tab w:val="left" w:pos="1260"/>
        </w:tabs>
        <w:spacing w:after="0"/>
        <w:ind w:left="708"/>
        <w:jc w:val="both"/>
      </w:pPr>
      <w:r w:rsidRPr="00CB576F">
        <w:t>c. Toegankelijkheid van diensten en de strijd tegen non-take up</w:t>
      </w:r>
    </w:p>
    <w:p w14:paraId="05777F5C" w14:textId="77777777" w:rsidR="00CB576F" w:rsidRPr="00CB576F" w:rsidRDefault="00CB576F" w:rsidP="00CB576F">
      <w:pPr>
        <w:tabs>
          <w:tab w:val="left" w:pos="1260"/>
        </w:tabs>
        <w:spacing w:after="0"/>
        <w:jc w:val="both"/>
      </w:pPr>
      <w:r w:rsidRPr="00CB576F">
        <w:t>2.           Armoede en gezondheid</w:t>
      </w:r>
    </w:p>
    <w:p w14:paraId="545DA810" w14:textId="77777777" w:rsidR="00CB576F" w:rsidRPr="00CB576F" w:rsidRDefault="00CB576F" w:rsidP="00CB576F">
      <w:pPr>
        <w:tabs>
          <w:tab w:val="left" w:pos="1260"/>
        </w:tabs>
        <w:spacing w:after="0"/>
        <w:jc w:val="both"/>
      </w:pPr>
      <w:r w:rsidRPr="00CB576F">
        <w:t>3.           De strijd tegen overmatige schuldenlast</w:t>
      </w:r>
    </w:p>
    <w:p w14:paraId="306B3D20" w14:textId="677870EA" w:rsidR="00CB576F" w:rsidRDefault="00CB576F" w:rsidP="00CB576F">
      <w:pPr>
        <w:tabs>
          <w:tab w:val="left" w:pos="1260"/>
        </w:tabs>
        <w:spacing w:after="0"/>
        <w:jc w:val="both"/>
      </w:pPr>
      <w:r w:rsidRPr="00CB576F">
        <w:t>4.           Bescherming van de koopkracht van personen in armoede</w:t>
      </w:r>
    </w:p>
    <w:p w14:paraId="7D57AEBB" w14:textId="4C0C7DEE" w:rsidR="00CB576F" w:rsidRDefault="00CB576F" w:rsidP="00CB576F">
      <w:pPr>
        <w:tabs>
          <w:tab w:val="left" w:pos="1260"/>
        </w:tabs>
        <w:spacing w:before="240"/>
        <w:jc w:val="both"/>
      </w:pPr>
      <w:r w:rsidRPr="00CB576F">
        <w:t xml:space="preserve">De thematische werkgroep over </w:t>
      </w:r>
      <w:r>
        <w:t xml:space="preserve">“koopkracht” </w:t>
      </w:r>
      <w:r w:rsidRPr="00CB576F">
        <w:t xml:space="preserve">zal plaatsvinden op </w:t>
      </w:r>
      <w:r w:rsidR="00CF7BDF" w:rsidRPr="00CF7BDF">
        <w:rPr>
          <w:b/>
          <w:bCs/>
        </w:rPr>
        <w:t>woensdag 25 juni 2025 om 13.30-16u</w:t>
      </w:r>
      <w:r w:rsidRPr="00CF7BDF">
        <w:rPr>
          <w:b/>
          <w:bCs/>
        </w:rPr>
        <w:t xml:space="preserve">. </w:t>
      </w:r>
      <w:r w:rsidRPr="00CB576F">
        <w:t>Om deze vergadering zo goed mogelijk voor te bereiden, nodigen wij u uit om deze fiche en de lijst van maatregelen, opgesteld door het kabinet op basis van het regeerakkoord, door te nemen.</w:t>
      </w:r>
    </w:p>
    <w:p w14:paraId="3388ECF3" w14:textId="27D73EAF" w:rsidR="00CB576F" w:rsidRPr="00CB576F" w:rsidRDefault="00CB576F" w:rsidP="00CB576F">
      <w:pPr>
        <w:tabs>
          <w:tab w:val="left" w:pos="1260"/>
        </w:tabs>
        <w:jc w:val="both"/>
      </w:pPr>
      <w:r w:rsidRPr="00CB576F">
        <w:t>Uw aanbevelingen met betrekking tot deze maatregelen zullen worden opgenomen in een nota die aan het kabinet zal worden overgemaakt.</w:t>
      </w:r>
    </w:p>
    <w:p w14:paraId="26F6F0E9" w14:textId="77777777" w:rsidR="00CB576F" w:rsidRPr="00CB576F" w:rsidRDefault="00CB576F" w:rsidP="00CB576F">
      <w:pPr>
        <w:tabs>
          <w:tab w:val="left" w:pos="1260"/>
        </w:tabs>
        <w:jc w:val="both"/>
      </w:pPr>
      <w:r w:rsidRPr="00CB576F">
        <w:t>Tijdens onze besprekingen vragen wij u rekening te houden met de wens van de minister om uitsluitend nieuwe maatregelen op te nemen in het federaal plan ter bestrijding van armoede, en om het aantal maatregelen te beperken met het oog op efficiëntie.</w:t>
      </w:r>
    </w:p>
    <w:p w14:paraId="6A84D653" w14:textId="77777777" w:rsidR="00CB576F" w:rsidRPr="00CB576F" w:rsidRDefault="00CB576F" w:rsidP="00CB576F">
      <w:pPr>
        <w:tabs>
          <w:tab w:val="left" w:pos="1260"/>
        </w:tabs>
        <w:jc w:val="both"/>
      </w:pPr>
      <w:r w:rsidRPr="00CB576F">
        <w:t>Alvast bedankt voor uw medewerking!</w:t>
      </w:r>
    </w:p>
    <w:bookmarkEnd w:id="0"/>
    <w:p w14:paraId="49AE9402" w14:textId="77777777" w:rsidR="00CB576F" w:rsidRDefault="00CB576F" w:rsidP="00587A82">
      <w:pPr>
        <w:tabs>
          <w:tab w:val="left" w:pos="1260"/>
        </w:tabs>
        <w:jc w:val="both"/>
      </w:pPr>
    </w:p>
    <w:p w14:paraId="37B28B82" w14:textId="77777777" w:rsidR="00CB576F" w:rsidRDefault="00CB576F">
      <w:pPr>
        <w:rPr>
          <w:b/>
          <w:bCs/>
          <w:u w:val="single"/>
        </w:rPr>
      </w:pPr>
      <w:r>
        <w:rPr>
          <w:b/>
          <w:bCs/>
          <w:u w:val="single"/>
        </w:rPr>
        <w:br w:type="page"/>
      </w:r>
    </w:p>
    <w:p w14:paraId="56E67287" w14:textId="340B1FD3" w:rsidR="00587A82" w:rsidRPr="00CB576F" w:rsidRDefault="002D499A" w:rsidP="00CB576F">
      <w:pPr>
        <w:pStyle w:val="ListParagraph"/>
        <w:numPr>
          <w:ilvl w:val="0"/>
          <w:numId w:val="15"/>
        </w:numPr>
        <w:tabs>
          <w:tab w:val="left" w:pos="1260"/>
        </w:tabs>
        <w:jc w:val="both"/>
        <w:rPr>
          <w:b/>
          <w:bCs/>
          <w:u w:val="single"/>
        </w:rPr>
      </w:pPr>
      <w:r w:rsidRPr="00CB576F">
        <w:rPr>
          <w:b/>
          <w:bCs/>
          <w:u w:val="single"/>
        </w:rPr>
        <w:lastRenderedPageBreak/>
        <w:t>Context</w:t>
      </w:r>
      <w:r w:rsidR="00587A82" w:rsidRPr="00CB576F">
        <w:rPr>
          <w:b/>
          <w:bCs/>
          <w:u w:val="single"/>
        </w:rPr>
        <w:t>e</w:t>
      </w:r>
    </w:p>
    <w:p w14:paraId="7995A90F" w14:textId="6689FE1C" w:rsidR="00587A82" w:rsidRDefault="00587A82" w:rsidP="00587A82">
      <w:pPr>
        <w:tabs>
          <w:tab w:val="left" w:pos="1260"/>
        </w:tabs>
        <w:jc w:val="both"/>
      </w:pPr>
      <w:r w:rsidRPr="00A92501">
        <w:t xml:space="preserve">In 2024 werd 18,2% van de Belgische bevolking blootgesteld aan </w:t>
      </w:r>
      <w:r w:rsidRPr="004C2C4C">
        <w:rPr>
          <w:b/>
          <w:bCs/>
        </w:rPr>
        <w:t>het risico op armoede of sociale uitsluiting (AROPE)</w:t>
      </w:r>
      <w:r w:rsidRPr="00A92501">
        <w:t xml:space="preserve">, wat overeenkomt met iets meer dan 2,1 miljoen mensen. Het </w:t>
      </w:r>
      <w:r w:rsidRPr="004C2C4C">
        <w:rPr>
          <w:b/>
          <w:bCs/>
        </w:rPr>
        <w:t>armoederisico</w:t>
      </w:r>
      <w:r>
        <w:rPr>
          <w:rStyle w:val="FootnoteReference"/>
          <w:b/>
          <w:bCs/>
        </w:rPr>
        <w:footnoteReference w:id="1"/>
      </w:r>
      <w:r w:rsidRPr="004C2C4C">
        <w:rPr>
          <w:b/>
          <w:bCs/>
        </w:rPr>
        <w:t xml:space="preserve"> (AROP of monetaire armoede)</w:t>
      </w:r>
      <w:r w:rsidRPr="00A92501">
        <w:t xml:space="preserve"> bedroeg op zijn beurt 11,5% van de bevolking.</w:t>
      </w:r>
    </w:p>
    <w:p w14:paraId="0A34E35A" w14:textId="77777777" w:rsidR="008B4612" w:rsidRPr="008B4612" w:rsidRDefault="008B4612" w:rsidP="008B4612">
      <w:pPr>
        <w:tabs>
          <w:tab w:val="left" w:pos="1260"/>
        </w:tabs>
        <w:jc w:val="both"/>
      </w:pPr>
      <w:r w:rsidRPr="008B4612">
        <w:t xml:space="preserve">In 2024 kampt 6,1% van de bevolking met </w:t>
      </w:r>
      <w:r w:rsidRPr="008B4612">
        <w:rPr>
          <w:b/>
          <w:bCs/>
        </w:rPr>
        <w:t>ernstige materiële en sociale ontberingen</w:t>
      </w:r>
      <w:r w:rsidRPr="008B4612">
        <w:t>. Dit betekent dat ze niet in staat zijn om bepaalde dagelijkse uitgaven te doen die als noodzakelijk worden beschouwd om een aanvaardbare levensstandaard te behouden, zoals het betalen van rekeningen, het vervangen van versleten meubels of het regelmatig deelnemen aan sociale activiteiten.</w:t>
      </w:r>
    </w:p>
    <w:p w14:paraId="105F84DA" w14:textId="1C2FFB35" w:rsidR="008B4612" w:rsidRDefault="008B4612" w:rsidP="00587A82">
      <w:pPr>
        <w:tabs>
          <w:tab w:val="left" w:pos="1260"/>
        </w:tabs>
        <w:jc w:val="both"/>
      </w:pPr>
      <w:r w:rsidRPr="008B4612">
        <w:t>De onderstaande grafiek toont de evolutie van het aantal hulpvragen inzake</w:t>
      </w:r>
      <w:r w:rsidRPr="008B4612">
        <w:rPr>
          <w:b/>
          <w:bCs/>
        </w:rPr>
        <w:t xml:space="preserve"> voedselhulp en hulp voor water en energie </w:t>
      </w:r>
      <w:r w:rsidRPr="008B4612">
        <w:t>die door gebruikers aan de OCMW’s worden gericht. Aangezien het hier gaat om geschatte gegevens gebaseerd op enquêtes bij de OCMW’s, ligt de nadruk vooral op de trend van deze hulpvragen en minder op hun absolute waarde.</w:t>
      </w:r>
      <w:r>
        <w:t xml:space="preserve"> </w:t>
      </w:r>
      <w:r w:rsidRPr="008B4612">
        <w:t>(Bron: Enquête Sociale Impact – POD MI)</w:t>
      </w:r>
    </w:p>
    <w:p w14:paraId="07354F86" w14:textId="4973B849" w:rsidR="008B4612" w:rsidRDefault="008B4612" w:rsidP="00587A82">
      <w:pPr>
        <w:tabs>
          <w:tab w:val="left" w:pos="1260"/>
        </w:tabs>
        <w:jc w:val="both"/>
      </w:pPr>
      <w:r w:rsidRPr="00203539">
        <w:rPr>
          <w:noProof/>
        </w:rPr>
        <w:drawing>
          <wp:inline distT="0" distB="0" distL="0" distR="0" wp14:anchorId="77719F35" wp14:editId="38AD9E3D">
            <wp:extent cx="5760720" cy="2757170"/>
            <wp:effectExtent l="0" t="0" r="11430" b="5080"/>
            <wp:docPr id="379064862" name="Chart 1">
              <a:extLst xmlns:a="http://schemas.openxmlformats.org/drawingml/2006/main">
                <a:ext uri="{FF2B5EF4-FFF2-40B4-BE49-F238E27FC236}">
                  <a16:creationId xmlns:a16="http://schemas.microsoft.com/office/drawing/2014/main" id="{72BA4740-D28B-4F7A-90CD-1923A03EC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CAF592" w14:textId="77777777" w:rsidR="008B4612" w:rsidRPr="008B4612" w:rsidRDefault="008B4612" w:rsidP="008B4612">
      <w:pPr>
        <w:tabs>
          <w:tab w:val="left" w:pos="1260"/>
        </w:tabs>
        <w:jc w:val="both"/>
      </w:pPr>
      <w:r w:rsidRPr="008B4612">
        <w:t xml:space="preserve">De </w:t>
      </w:r>
      <w:r w:rsidRPr="008B4612">
        <w:rPr>
          <w:b/>
          <w:bCs/>
        </w:rPr>
        <w:t>vraag naar voedselhulp</w:t>
      </w:r>
      <w:r w:rsidRPr="008B4612">
        <w:t xml:space="preserve"> vertoont een stijgende trend. Dit wijst vaak op een sociale noodsituatie waarbij het beschikbare inkomen niet langer volstaat om in de basisbehoeften te voorzien. Deze stijging is een teken van de toenemende moeilijkheden om voldoende en kwalitatief voedsel te verkrijgen.</w:t>
      </w:r>
    </w:p>
    <w:p w14:paraId="7655016D" w14:textId="164832A1" w:rsidR="008B4612" w:rsidRPr="008B4612" w:rsidRDefault="008B4612" w:rsidP="008B4612">
      <w:pPr>
        <w:tabs>
          <w:tab w:val="left" w:pos="1260"/>
        </w:tabs>
        <w:jc w:val="both"/>
      </w:pPr>
      <w:r w:rsidRPr="008B4612">
        <w:t xml:space="preserve">Ook het aantal </w:t>
      </w:r>
      <w:r w:rsidRPr="008B4612">
        <w:rPr>
          <w:b/>
          <w:bCs/>
        </w:rPr>
        <w:t>aanvragen voor hulp bij water- en energiekosten</w:t>
      </w:r>
      <w:r w:rsidRPr="008B4612">
        <w:t xml:space="preserve"> neemt toe, vaak als gevolg van prijsstijgingen in energie en woonlasten. Deze hulp is essentieel om de toegang tot basisvoorzieningen te garanderen.</w:t>
      </w:r>
    </w:p>
    <w:p w14:paraId="39539F3B" w14:textId="77777777" w:rsidR="00113F95" w:rsidRPr="00587A82" w:rsidRDefault="00113F95" w:rsidP="00113F95">
      <w:pPr>
        <w:rPr>
          <w:b/>
          <w:bCs/>
          <w:u w:val="single"/>
        </w:rPr>
      </w:pPr>
    </w:p>
    <w:p w14:paraId="67AD2A1D" w14:textId="77777777" w:rsidR="00CB576F" w:rsidRDefault="00CB576F">
      <w:pPr>
        <w:rPr>
          <w:b/>
          <w:bCs/>
          <w:u w:val="single"/>
        </w:rPr>
      </w:pPr>
      <w:r>
        <w:rPr>
          <w:b/>
          <w:bCs/>
          <w:u w:val="single"/>
        </w:rPr>
        <w:br w:type="page"/>
      </w:r>
    </w:p>
    <w:p w14:paraId="59759A04" w14:textId="7F2CA277" w:rsidR="00113F95" w:rsidRPr="00CB576F" w:rsidRDefault="00113F95" w:rsidP="00CB576F">
      <w:pPr>
        <w:pStyle w:val="ListParagraph"/>
        <w:numPr>
          <w:ilvl w:val="0"/>
          <w:numId w:val="15"/>
        </w:numPr>
        <w:rPr>
          <w:b/>
          <w:bCs/>
          <w:u w:val="single"/>
        </w:rPr>
      </w:pPr>
      <w:r w:rsidRPr="00CB576F">
        <w:rPr>
          <w:b/>
          <w:bCs/>
          <w:u w:val="single"/>
        </w:rPr>
        <w:t>Maatregelen rond het thema "koopkracht" op basis van het regeerakkoord</w:t>
      </w:r>
    </w:p>
    <w:p w14:paraId="33F222D0" w14:textId="349C4A39" w:rsidR="0033739A" w:rsidRPr="00587A82" w:rsidRDefault="00113F95" w:rsidP="00113F95">
      <w:pPr>
        <w:rPr>
          <w:i/>
          <w:iCs/>
        </w:rPr>
      </w:pPr>
      <w:r w:rsidRPr="00587A82">
        <w:rPr>
          <w:i/>
          <w:iCs/>
        </w:rPr>
        <w:t>Hieronder vindt u een eerste niet-limitatieve selectie van de maatregelen opgenomen in het regeerakkoord :</w:t>
      </w:r>
    </w:p>
    <w:p w14:paraId="033A3B83" w14:textId="77777777" w:rsidR="00113F95" w:rsidRPr="00587A82" w:rsidRDefault="00113F95" w:rsidP="00113F95">
      <w:pPr>
        <w:rPr>
          <w:i/>
          <w:iCs/>
        </w:rPr>
      </w:pPr>
    </w:p>
    <w:p w14:paraId="24B446B1" w14:textId="4881BF7F" w:rsidR="00A10B46" w:rsidRPr="00587A82" w:rsidRDefault="00A10B46" w:rsidP="00113F95">
      <w:pPr>
        <w:pStyle w:val="ListParagraph"/>
        <w:numPr>
          <w:ilvl w:val="0"/>
          <w:numId w:val="12"/>
        </w:numPr>
        <w:jc w:val="both"/>
        <w:rPr>
          <w:rFonts w:cstheme="minorHAnsi"/>
          <w:i/>
          <w:iCs/>
        </w:rPr>
      </w:pPr>
      <w:r w:rsidRPr="00113F95">
        <w:rPr>
          <w:rFonts w:eastAsia="Times New Roman" w:cstheme="minorHAnsi"/>
          <w:color w:val="000000"/>
          <w:lang w:eastAsia="nl-BE"/>
        </w:rPr>
        <w:t>De overheid voert brede campagnes om elke consument te informeren en bewust te maken van zijn rechten, mogelijkheden en verantwoordelijkheden. Bijzondere aandacht gaat uit naar de manier waarop kwetsbare groepen het best worden bereikt.</w:t>
      </w:r>
    </w:p>
    <w:p w14:paraId="1FAE4860" w14:textId="0532F8DB" w:rsidR="00A10B46" w:rsidRPr="00587A82" w:rsidRDefault="00A10B46" w:rsidP="00A10B46">
      <w:pPr>
        <w:pStyle w:val="ListParagraph"/>
        <w:numPr>
          <w:ilvl w:val="0"/>
          <w:numId w:val="12"/>
        </w:numPr>
        <w:jc w:val="both"/>
        <w:rPr>
          <w:rFonts w:cstheme="minorHAnsi"/>
          <w:i/>
          <w:iCs/>
        </w:rPr>
      </w:pPr>
      <w:r w:rsidRPr="00113F95">
        <w:rPr>
          <w:rFonts w:eastAsia="Times New Roman" w:cstheme="minorHAnsi"/>
          <w:color w:val="000000"/>
          <w:lang w:eastAsia="nl-BE"/>
        </w:rPr>
        <w:t>Versterking van de laagste inkomens door een tweefasige bijkomende verhoging van de minimumlonen</w:t>
      </w:r>
    </w:p>
    <w:p w14:paraId="218CF178" w14:textId="7AB12749" w:rsidR="00A10B46" w:rsidRPr="00587A82" w:rsidRDefault="00A10B46" w:rsidP="00A10B46">
      <w:pPr>
        <w:pStyle w:val="ListParagraph"/>
        <w:numPr>
          <w:ilvl w:val="0"/>
          <w:numId w:val="12"/>
        </w:numPr>
        <w:jc w:val="both"/>
        <w:rPr>
          <w:rFonts w:cstheme="minorHAnsi"/>
          <w:i/>
          <w:iCs/>
        </w:rPr>
      </w:pPr>
      <w:r w:rsidRPr="00113F95">
        <w:rPr>
          <w:rFonts w:eastAsia="Times New Roman" w:cstheme="minorHAnsi"/>
          <w:color w:val="000000"/>
          <w:lang w:eastAsia="nl-BE"/>
        </w:rPr>
        <w:t>Een fiscale hervorming die voorziet in financiële steun en belastingsverlagingen voor gezinnen waardoor de kosten van de energietransitie beter beheersbaar worden</w:t>
      </w:r>
    </w:p>
    <w:p w14:paraId="1151658A" w14:textId="4CD9298D" w:rsidR="00A10B46" w:rsidRPr="00587A82" w:rsidRDefault="00A10B46" w:rsidP="00A10B46">
      <w:pPr>
        <w:pStyle w:val="ListParagraph"/>
        <w:numPr>
          <w:ilvl w:val="0"/>
          <w:numId w:val="12"/>
        </w:numPr>
        <w:jc w:val="both"/>
        <w:rPr>
          <w:rFonts w:cstheme="minorHAnsi"/>
          <w:i/>
          <w:iCs/>
        </w:rPr>
      </w:pPr>
      <w:r w:rsidRPr="00113F95">
        <w:rPr>
          <w:rFonts w:eastAsia="Times New Roman" w:cstheme="minorHAnsi"/>
          <w:color w:val="000000"/>
          <w:lang w:eastAsia="nl-BE"/>
        </w:rPr>
        <w:t>Het boek XIX van het Wetboek van economisch recht inzake consumentenschulden wordt tegen het einde van het eerste jaar van de legislatuur geëvalueerd en eventueel waar nodig aangepast in functie van deze evaluatie.</w:t>
      </w:r>
    </w:p>
    <w:p w14:paraId="7C798E00" w14:textId="77777777" w:rsidR="00F358A0" w:rsidRPr="00587A82" w:rsidRDefault="00F358A0">
      <w:pPr>
        <w:rPr>
          <w:b/>
          <w:bCs/>
          <w:u w:val="single"/>
        </w:rPr>
      </w:pPr>
    </w:p>
    <w:p w14:paraId="2E351281" w14:textId="4513AD50" w:rsidR="00CB576F" w:rsidRPr="00CB576F" w:rsidRDefault="00CB576F" w:rsidP="00CB576F">
      <w:pPr>
        <w:pStyle w:val="ListParagraph"/>
        <w:numPr>
          <w:ilvl w:val="0"/>
          <w:numId w:val="15"/>
        </w:numPr>
        <w:rPr>
          <w:b/>
          <w:bCs/>
          <w:u w:val="single"/>
        </w:rPr>
      </w:pPr>
      <w:bookmarkStart w:id="1" w:name="_Hlk200117475"/>
      <w:r w:rsidRPr="00CB576F">
        <w:rPr>
          <w:b/>
          <w:bCs/>
          <w:u w:val="single"/>
        </w:rPr>
        <w:t>Aanbevelingen</w:t>
      </w:r>
    </w:p>
    <w:p w14:paraId="2B345BF0" w14:textId="42B9262E" w:rsidR="00CB576F" w:rsidRDefault="00CB576F" w:rsidP="00CB576F">
      <w:pPr>
        <w:rPr>
          <w:b/>
          <w:bCs/>
          <w:u w:val="single"/>
        </w:rPr>
      </w:pPr>
      <w:r w:rsidRPr="00CB576F">
        <w:rPr>
          <w:b/>
          <w:bCs/>
          <w:u w:val="single"/>
        </w:rPr>
        <w:t xml:space="preserve">Wat zijn uw aanbevelingen met betrekking tot de door </w:t>
      </w:r>
      <w:r w:rsidR="00CF7BDF">
        <w:rPr>
          <w:b/>
          <w:bCs/>
          <w:u w:val="single"/>
        </w:rPr>
        <w:t>de beleidscel</w:t>
      </w:r>
      <w:r w:rsidRPr="00CB576F">
        <w:rPr>
          <w:b/>
          <w:bCs/>
          <w:u w:val="single"/>
        </w:rPr>
        <w:t xml:space="preserve"> geselecteerde maatregelen?</w:t>
      </w:r>
      <w:r w:rsidRPr="00CB576F">
        <w:rPr>
          <w:b/>
          <w:bCs/>
          <w:u w:val="single"/>
        </w:rPr>
        <w:br/>
      </w:r>
    </w:p>
    <w:p w14:paraId="42D13D4A" w14:textId="28CBBD92" w:rsidR="00A10B46" w:rsidRPr="00CB576F" w:rsidRDefault="00CB576F" w:rsidP="00CB576F">
      <w:pPr>
        <w:rPr>
          <w:b/>
          <w:bCs/>
          <w:u w:val="single"/>
        </w:rPr>
      </w:pPr>
      <w:r w:rsidRPr="00CB576F">
        <w:rPr>
          <w:b/>
          <w:bCs/>
          <w:u w:val="single"/>
        </w:rPr>
        <w:t>Welke nieuwe actie(s) stelt u voor in verband met het thema?</w:t>
      </w:r>
    </w:p>
    <w:bookmarkEnd w:id="1"/>
    <w:p w14:paraId="5940A091" w14:textId="77777777" w:rsidR="00233ADC" w:rsidRPr="00587A82" w:rsidRDefault="00233ADC" w:rsidP="00233ADC">
      <w:pPr>
        <w:rPr>
          <w:b/>
          <w:bCs/>
          <w:u w:val="single"/>
        </w:rPr>
      </w:pPr>
    </w:p>
    <w:p w14:paraId="2CFC3448" w14:textId="5C429969" w:rsidR="00233ADC" w:rsidRPr="00587A82" w:rsidRDefault="00233ADC" w:rsidP="006002A7">
      <w:pPr>
        <w:rPr>
          <w:b/>
          <w:bCs/>
          <w:u w:val="single"/>
        </w:rPr>
      </w:pPr>
    </w:p>
    <w:sectPr w:rsidR="00233ADC" w:rsidRPr="00587A82" w:rsidSect="008C501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2" w:name="_Hlk33451114" w:displacedByCustomXml="next"/>
    </w:sdtContent>
  </w:sdt>
  <w:bookmarkEnd w:id="2"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7D838C12" w14:textId="77777777" w:rsidR="00587A82" w:rsidRPr="004C2C4C" w:rsidRDefault="00587A82" w:rsidP="00587A82">
      <w:pPr>
        <w:pStyle w:val="FootnoteText"/>
        <w:jc w:val="both"/>
      </w:pPr>
      <w:r>
        <w:rPr>
          <w:rStyle w:val="FootnoteReference"/>
        </w:rPr>
        <w:footnoteRef/>
      </w:r>
      <w:r>
        <w:t xml:space="preserve"> </w:t>
      </w:r>
      <w:r w:rsidRPr="004C2C4C">
        <w:t>AROP: het armoederisico (of monetaire armoede) is het percentage personen met een equivalente beschikbare inkomens (na sociale overdrachten) dat lager ligt dan 60% van het nationale mediaaninkomen van huishoudens.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5CD64E04" w:rsidR="00B530E6" w:rsidRPr="003D7888" w:rsidRDefault="00E97F87">
          <w:pPr>
            <w:pStyle w:val="Header"/>
            <w:rPr>
              <w:b/>
              <w:bCs/>
              <w:color w:val="808080" w:themeColor="background1" w:themeShade="80"/>
              <w:sz w:val="44"/>
              <w:szCs w:val="44"/>
              <w:lang w:val="fr-BE"/>
            </w:rPr>
          </w:pPr>
          <w:r>
            <w:rPr>
              <w:b/>
              <w:bCs/>
              <w:color w:val="808080" w:themeColor="background1" w:themeShade="80"/>
              <w:sz w:val="44"/>
              <w:szCs w:val="44"/>
              <w:lang w:val="fr-BE"/>
            </w:rPr>
            <w:t>Thematische fiche</w:t>
          </w:r>
        </w:p>
      </w:tc>
    </w:tr>
    <w:tr w:rsidR="007E11F7" w:rsidRPr="004E42C9" w14:paraId="4AB4D1FC" w14:textId="77777777" w:rsidTr="00A17167">
      <w:tc>
        <w:tcPr>
          <w:tcW w:w="2545" w:type="dxa"/>
        </w:tcPr>
        <w:p w14:paraId="2DA55D24" w14:textId="77777777" w:rsidR="004C082D" w:rsidRPr="00587A82" w:rsidRDefault="004C082D" w:rsidP="00F14040">
          <w:pPr>
            <w:pStyle w:val="Header"/>
            <w:jc w:val="right"/>
            <w:rPr>
              <w:color w:val="808080" w:themeColor="background1" w:themeShade="80"/>
              <w:sz w:val="18"/>
              <w:szCs w:val="18"/>
            </w:rPr>
          </w:pPr>
        </w:p>
        <w:p w14:paraId="3BF2EDD8" w14:textId="7606CAB3" w:rsidR="004C082D" w:rsidRPr="00587A82" w:rsidRDefault="002D499A" w:rsidP="00F14040">
          <w:pPr>
            <w:pStyle w:val="Header"/>
            <w:jc w:val="right"/>
            <w:rPr>
              <w:color w:val="808080" w:themeColor="background1" w:themeShade="80"/>
              <w:sz w:val="18"/>
              <w:szCs w:val="18"/>
            </w:rPr>
          </w:pPr>
          <w:r w:rsidRPr="00587A82">
            <w:rPr>
              <w:color w:val="808080" w:themeColor="background1" w:themeShade="80"/>
              <w:sz w:val="18"/>
              <w:szCs w:val="18"/>
            </w:rPr>
            <w:t>Kruidtuinlaan</w:t>
          </w:r>
          <w:r w:rsidR="004C082D" w:rsidRPr="00587A82">
            <w:rPr>
              <w:color w:val="808080" w:themeColor="background1" w:themeShade="80"/>
              <w:sz w:val="18"/>
              <w:szCs w:val="18"/>
            </w:rPr>
            <w:t xml:space="preserve"> 50 </w:t>
          </w:r>
          <w:r w:rsidRPr="00587A82">
            <w:rPr>
              <w:color w:val="808080" w:themeColor="background1" w:themeShade="80"/>
              <w:sz w:val="18"/>
              <w:szCs w:val="18"/>
            </w:rPr>
            <w:t>bus</w:t>
          </w:r>
          <w:r w:rsidR="004C082D" w:rsidRPr="00587A82">
            <w:rPr>
              <w:color w:val="808080" w:themeColor="background1" w:themeShade="80"/>
              <w:sz w:val="18"/>
              <w:szCs w:val="18"/>
            </w:rPr>
            <w:t xml:space="preserve"> 165</w:t>
          </w:r>
        </w:p>
        <w:p w14:paraId="719B410C" w14:textId="7967D5EA" w:rsidR="004C082D" w:rsidRPr="00587A82" w:rsidRDefault="004C082D" w:rsidP="00F14040">
          <w:pPr>
            <w:pStyle w:val="Header"/>
            <w:jc w:val="right"/>
            <w:rPr>
              <w:color w:val="808080" w:themeColor="background1" w:themeShade="80"/>
              <w:sz w:val="18"/>
              <w:szCs w:val="18"/>
            </w:rPr>
          </w:pPr>
          <w:r w:rsidRPr="00587A82">
            <w:rPr>
              <w:color w:val="808080" w:themeColor="background1" w:themeShade="80"/>
              <w:sz w:val="18"/>
              <w:szCs w:val="18"/>
            </w:rPr>
            <w:t>B-1000 Bru</w:t>
          </w:r>
          <w:r w:rsidR="002D499A" w:rsidRPr="00587A82">
            <w:rPr>
              <w:color w:val="808080" w:themeColor="background1" w:themeShade="80"/>
              <w:sz w:val="18"/>
              <w:szCs w:val="18"/>
            </w:rPr>
            <w:t>sse</w:t>
          </w:r>
          <w:r w:rsidR="00A17167" w:rsidRPr="00587A82">
            <w:rPr>
              <w:color w:val="808080" w:themeColor="background1" w:themeShade="80"/>
              <w:sz w:val="18"/>
              <w:szCs w:val="18"/>
            </w:rPr>
            <w:t>s</w:t>
          </w:r>
        </w:p>
        <w:p w14:paraId="6C1B516F" w14:textId="77777777" w:rsidR="004C082D" w:rsidRPr="00587A82" w:rsidRDefault="004C082D" w:rsidP="00F14040">
          <w:pPr>
            <w:pStyle w:val="Header"/>
            <w:jc w:val="right"/>
            <w:rPr>
              <w:color w:val="808080" w:themeColor="background1" w:themeShade="80"/>
              <w:sz w:val="18"/>
              <w:szCs w:val="18"/>
            </w:rPr>
          </w:pPr>
          <w:r w:rsidRPr="00587A82">
            <w:rPr>
              <w:color w:val="808080" w:themeColor="background1" w:themeShade="80"/>
              <w:sz w:val="18"/>
              <w:szCs w:val="18"/>
            </w:rPr>
            <w:t>T. +32 2 508 85 8</w:t>
          </w:r>
          <w:r w:rsidR="00A17167" w:rsidRPr="00587A82">
            <w:rPr>
              <w:color w:val="808080" w:themeColor="background1" w:themeShade="80"/>
              <w:sz w:val="18"/>
              <w:szCs w:val="18"/>
            </w:rPr>
            <w:t>6</w:t>
          </w:r>
        </w:p>
        <w:p w14:paraId="6F0FF4B3" w14:textId="77777777" w:rsidR="004C082D" w:rsidRPr="00587A82" w:rsidRDefault="004C082D" w:rsidP="00F14040">
          <w:pPr>
            <w:pStyle w:val="Header"/>
            <w:jc w:val="right"/>
            <w:rPr>
              <w:color w:val="808080" w:themeColor="background1" w:themeShade="80"/>
              <w:sz w:val="18"/>
              <w:szCs w:val="18"/>
            </w:rPr>
          </w:pPr>
          <w:r w:rsidRPr="00587A82">
            <w:rPr>
              <w:color w:val="808080" w:themeColor="background1" w:themeShade="80"/>
              <w:sz w:val="18"/>
              <w:szCs w:val="18"/>
            </w:rPr>
            <w:t xml:space="preserve">E. </w:t>
          </w:r>
          <w:hyperlink r:id="rId2" w:history="1">
            <w:r w:rsidR="00A17167" w:rsidRPr="00587A82">
              <w:rPr>
                <w:rStyle w:val="Hyperlink"/>
                <w:color w:val="808080" w:themeColor="background1" w:themeShade="80"/>
                <w:sz w:val="18"/>
                <w:szCs w:val="18"/>
              </w:rPr>
              <w:t>question@mi-is.be</w:t>
            </w:r>
          </w:hyperlink>
          <w:r w:rsidR="00A17167" w:rsidRPr="00587A82">
            <w:rPr>
              <w:color w:val="808080" w:themeColor="background1" w:themeShade="80"/>
              <w:sz w:val="18"/>
              <w:szCs w:val="18"/>
            </w:rPr>
            <w:t xml:space="preserve"> </w:t>
          </w:r>
        </w:p>
        <w:p w14:paraId="522B6E16" w14:textId="77777777" w:rsidR="004C082D" w:rsidRPr="007E11F7" w:rsidRDefault="00CF7BDF"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662A7F47" w14:textId="11132571" w:rsidR="004C082D" w:rsidRPr="002D499A" w:rsidRDefault="004C082D" w:rsidP="002D499A">
          <w:pPr>
            <w:pStyle w:val="Header"/>
            <w:rPr>
              <w:b/>
              <w:bCs/>
              <w:color w:val="808080" w:themeColor="background1" w:themeShade="80"/>
              <w:sz w:val="18"/>
              <w:szCs w:val="18"/>
              <w:lang w:val="fr-FR"/>
            </w:rPr>
          </w:pPr>
          <w:r w:rsidRPr="002D499A">
            <w:rPr>
              <w:b/>
              <w:bCs/>
              <w:color w:val="808080" w:themeColor="background1" w:themeShade="80"/>
              <w:sz w:val="18"/>
              <w:szCs w:val="18"/>
              <w:lang w:val="fr-FR"/>
            </w:rPr>
            <w:softHyphen/>
          </w:r>
          <w:r w:rsidR="002D499A" w:rsidRPr="002D499A">
            <w:rPr>
              <w:b/>
              <w:bCs/>
              <w:color w:val="808080" w:themeColor="background1" w:themeShade="80"/>
              <w:sz w:val="18"/>
              <w:szCs w:val="18"/>
              <w:lang w:val="fr-FR"/>
            </w:rPr>
            <w:t>Ter attentie van :</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6002A7" w:rsidRPr="00C55B5D" w14:paraId="12A8F0AF" w14:textId="77777777" w:rsidTr="00A17167">
      <w:tc>
        <w:tcPr>
          <w:tcW w:w="2545" w:type="dxa"/>
          <w:tcBorders>
            <w:top w:val="single" w:sz="4" w:space="0" w:color="auto"/>
          </w:tcBorders>
        </w:tcPr>
        <w:p w14:paraId="38C3A3DB" w14:textId="2AF58D78" w:rsidR="006002A7" w:rsidRPr="00C55B5D" w:rsidRDefault="002D499A" w:rsidP="006002A7">
          <w:pPr>
            <w:pStyle w:val="Header"/>
            <w:jc w:val="right"/>
            <w:rPr>
              <w:b/>
              <w:color w:val="808080" w:themeColor="background1" w:themeShade="80"/>
              <w:sz w:val="18"/>
              <w:szCs w:val="18"/>
              <w:lang w:val="fr-FR"/>
            </w:rPr>
          </w:pPr>
          <w:r>
            <w:rPr>
              <w:b/>
              <w:color w:val="808080" w:themeColor="background1" w:themeShade="80"/>
              <w:sz w:val="18"/>
              <w:szCs w:val="18"/>
              <w:lang w:val="fr-FR"/>
            </w:rPr>
            <w:t>Dienst</w:t>
          </w:r>
          <w:r w:rsidR="006002A7">
            <w:rPr>
              <w:b/>
              <w:color w:val="808080" w:themeColor="background1" w:themeShade="80"/>
              <w:sz w:val="18"/>
              <w:szCs w:val="18"/>
              <w:lang w:val="fr-FR"/>
            </w:rPr>
            <w:t> :</w:t>
          </w:r>
        </w:p>
      </w:tc>
      <w:tc>
        <w:tcPr>
          <w:tcW w:w="2984" w:type="dxa"/>
          <w:tcBorders>
            <w:top w:val="single" w:sz="4" w:space="0" w:color="auto"/>
          </w:tcBorders>
        </w:tcPr>
        <w:p w14:paraId="4471D9EE" w14:textId="5806278E" w:rsidR="006002A7" w:rsidRPr="00C55B5D" w:rsidRDefault="006002A7" w:rsidP="006002A7">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0A06EEBD" w:rsidR="006002A7" w:rsidRPr="00C55B5D" w:rsidRDefault="006002A7" w:rsidP="006002A7">
          <w:pPr>
            <w:pStyle w:val="Header"/>
            <w:jc w:val="right"/>
            <w:rPr>
              <w:b/>
              <w:color w:val="808080" w:themeColor="background1" w:themeShade="80"/>
              <w:sz w:val="18"/>
              <w:szCs w:val="18"/>
              <w:lang w:val="fr-FR"/>
            </w:rPr>
          </w:pPr>
          <w:r>
            <w:rPr>
              <w:b/>
              <w:color w:val="808080" w:themeColor="background1" w:themeShade="80"/>
              <w:sz w:val="18"/>
              <w:szCs w:val="18"/>
              <w:lang w:val="fr-FR"/>
            </w:rPr>
            <w:t>Dat</w:t>
          </w:r>
          <w:r w:rsidR="002D499A">
            <w:rPr>
              <w:b/>
              <w:color w:val="808080" w:themeColor="background1" w:themeShade="80"/>
              <w:sz w:val="18"/>
              <w:szCs w:val="18"/>
              <w:lang w:val="fr-FR"/>
            </w:rPr>
            <w:t>um</w:t>
          </w:r>
          <w:r>
            <w:rPr>
              <w:b/>
              <w:color w:val="808080" w:themeColor="background1" w:themeShade="80"/>
              <w:sz w:val="18"/>
              <w:szCs w:val="18"/>
              <w:lang w:val="fr-FR"/>
            </w:rPr>
            <w:t xml:space="preserve"> :</w:t>
          </w:r>
        </w:p>
      </w:tc>
      <w:tc>
        <w:tcPr>
          <w:tcW w:w="2476" w:type="dxa"/>
          <w:tcBorders>
            <w:top w:val="single" w:sz="4" w:space="0" w:color="auto"/>
          </w:tcBorders>
        </w:tcPr>
        <w:p w14:paraId="6269DF50" w14:textId="24ADF8E9" w:rsidR="006002A7" w:rsidRPr="00C55B5D" w:rsidRDefault="00CB576F" w:rsidP="006002A7">
          <w:pPr>
            <w:pStyle w:val="Header"/>
            <w:rPr>
              <w:color w:val="808080" w:themeColor="background1" w:themeShade="80"/>
              <w:sz w:val="18"/>
              <w:szCs w:val="18"/>
              <w:lang w:val="fr-FR"/>
            </w:rPr>
          </w:pPr>
          <w:r>
            <w:rPr>
              <w:color w:val="808080" w:themeColor="background1" w:themeShade="80"/>
              <w:sz w:val="18"/>
              <w:szCs w:val="18"/>
              <w:lang w:val="fr-FR"/>
            </w:rPr>
            <w:t>13</w:t>
          </w:r>
          <w:r w:rsidR="006002A7">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186A4B06" w:rsidR="003D7888" w:rsidRPr="00C55B5D" w:rsidRDefault="002D499A" w:rsidP="003D7888">
          <w:pPr>
            <w:pStyle w:val="Header"/>
            <w:jc w:val="right"/>
            <w:rPr>
              <w:b/>
              <w:color w:val="808080" w:themeColor="background1" w:themeShade="80"/>
              <w:sz w:val="18"/>
              <w:szCs w:val="18"/>
              <w:lang w:val="fr-FR"/>
            </w:rPr>
          </w:pPr>
          <w:r>
            <w:rPr>
              <w:b/>
              <w:color w:val="808080" w:themeColor="background1" w:themeShade="80"/>
              <w:sz w:val="18"/>
              <w:szCs w:val="18"/>
              <w:lang w:val="fr-FR"/>
            </w:rPr>
            <w:t>Contactpersonen</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2984" w:type="dxa"/>
        </w:tcPr>
        <w:p w14:paraId="2F3DED02" w14:textId="7A9B5F7E" w:rsidR="003D7888" w:rsidRPr="00901336" w:rsidRDefault="00901336" w:rsidP="003D7888">
          <w:pPr>
            <w:pStyle w:val="Header"/>
            <w:rPr>
              <w:color w:val="808080" w:themeColor="background1" w:themeShade="80"/>
              <w:sz w:val="18"/>
              <w:szCs w:val="18"/>
            </w:rPr>
          </w:pPr>
          <w:r>
            <w:rPr>
              <w:color w:val="808080" w:themeColor="background1" w:themeShade="80"/>
              <w:sz w:val="18"/>
              <w:szCs w:val="18"/>
            </w:rPr>
            <w:t>Anita Opfergelt e</w:t>
          </w:r>
          <w:r w:rsidR="002D499A">
            <w:rPr>
              <w:color w:val="808080" w:themeColor="background1" w:themeShade="80"/>
              <w:sz w:val="18"/>
              <w:szCs w:val="18"/>
            </w:rPr>
            <w:t>n</w:t>
          </w:r>
          <w:r>
            <w:rPr>
              <w:color w:val="808080" w:themeColor="background1" w:themeShade="80"/>
              <w:sz w:val="18"/>
              <w:szCs w:val="18"/>
            </w:rPr>
            <w:t xml:space="preserve"> Noémie Wouters</w:t>
          </w:r>
        </w:p>
      </w:tc>
      <w:tc>
        <w:tcPr>
          <w:tcW w:w="1913" w:type="dxa"/>
        </w:tcPr>
        <w:p w14:paraId="75BA32D3" w14:textId="61494AC7" w:rsidR="003D7888" w:rsidRPr="00C55B5D" w:rsidRDefault="002D499A" w:rsidP="003D7888">
          <w:pPr>
            <w:pStyle w:val="Header"/>
            <w:jc w:val="right"/>
            <w:rPr>
              <w:b/>
              <w:color w:val="808080" w:themeColor="background1" w:themeShade="80"/>
              <w:sz w:val="18"/>
              <w:szCs w:val="18"/>
              <w:lang w:val="fr-FR"/>
            </w:rPr>
          </w:pPr>
          <w:r>
            <w:rPr>
              <w:b/>
              <w:color w:val="808080" w:themeColor="background1" w:themeShade="80"/>
              <w:sz w:val="18"/>
              <w:szCs w:val="18"/>
              <w:lang w:val="fr-FR"/>
            </w:rPr>
            <w:t>Bijlage(n</w:t>
          </w:r>
          <w:r w:rsidR="00113F95">
            <w:rPr>
              <w:b/>
              <w:color w:val="808080" w:themeColor="background1" w:themeShade="80"/>
              <w:sz w:val="18"/>
              <w:szCs w:val="18"/>
              <w:lang w:val="fr-FR"/>
            </w:rPr>
            <w:t>)</w:t>
          </w:r>
          <w:r w:rsidR="00113F95" w:rsidRPr="00C55B5D">
            <w:rPr>
              <w:b/>
              <w:color w:val="808080" w:themeColor="background1" w:themeShade="80"/>
              <w:sz w:val="18"/>
              <w:szCs w:val="18"/>
              <w:lang w:val="fr-FR"/>
            </w:rPr>
            <w:t xml:space="preserve"> :</w:t>
          </w:r>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42F71866" w:rsidR="003D7888" w:rsidRPr="00C55B5D" w:rsidRDefault="002D499A"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Onze referentie</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6002A7" w14:paraId="673F54AE" w14:textId="77777777" w:rsidTr="00A17167">
      <w:tc>
        <w:tcPr>
          <w:tcW w:w="2545" w:type="dxa"/>
          <w:tcBorders>
            <w:bottom w:val="single" w:sz="4" w:space="0" w:color="auto"/>
          </w:tcBorders>
        </w:tcPr>
        <w:p w14:paraId="0B69C345" w14:textId="0E8020FD" w:rsidR="003D7888" w:rsidRPr="00C55B5D" w:rsidRDefault="002D499A"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Onderwerp</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0B2F2DAC" w:rsidR="003D7888" w:rsidRPr="00587A82" w:rsidRDefault="002D499A" w:rsidP="00F358A0">
          <w:pPr>
            <w:pStyle w:val="Header"/>
            <w:rPr>
              <w:color w:val="808080" w:themeColor="background1" w:themeShade="80"/>
              <w:sz w:val="18"/>
              <w:szCs w:val="18"/>
            </w:rPr>
          </w:pPr>
          <w:r w:rsidRPr="00587A82">
            <w:rPr>
              <w:color w:val="808080" w:themeColor="background1" w:themeShade="80"/>
              <w:sz w:val="18"/>
              <w:szCs w:val="18"/>
            </w:rPr>
            <w:t>Voorbereidende fiche voor het Federaal Plan Armoedebestrijding – thema « koopkracht</w:t>
          </w:r>
          <w:r w:rsidR="006002A7" w:rsidRPr="00587A82">
            <w:rPr>
              <w:color w:val="808080" w:themeColor="background1" w:themeShade="80"/>
              <w:sz w:val="18"/>
              <w:szCs w:val="18"/>
            </w:rPr>
            <w:t> »</w:t>
          </w:r>
        </w:p>
      </w:tc>
    </w:tr>
  </w:tbl>
  <w:p w14:paraId="03A095EB" w14:textId="77777777" w:rsidR="00F14040" w:rsidRPr="00587A82" w:rsidRDefault="00F14040">
    <w:pPr>
      <w:pStyle w:val="Header"/>
      <w:rPr>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FA0909"/>
    <w:multiLevelType w:val="hybridMultilevel"/>
    <w:tmpl w:val="58623B4C"/>
    <w:lvl w:ilvl="0" w:tplc="AABA556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9987447"/>
    <w:multiLevelType w:val="multilevel"/>
    <w:tmpl w:val="0FA0AB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3F4541A"/>
    <w:multiLevelType w:val="multilevel"/>
    <w:tmpl w:val="575C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C47CE"/>
    <w:multiLevelType w:val="hybridMultilevel"/>
    <w:tmpl w:val="2CFAC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2"/>
  </w:num>
  <w:num w:numId="12" w16cid:durableId="243225760">
    <w:abstractNumId w:val="10"/>
  </w:num>
  <w:num w:numId="13" w16cid:durableId="1114251571">
    <w:abstractNumId w:val="11"/>
  </w:num>
  <w:num w:numId="14" w16cid:durableId="319389143">
    <w:abstractNumId w:val="13"/>
  </w:num>
  <w:num w:numId="15" w16cid:durableId="2009671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9365C"/>
    <w:rsid w:val="00112D95"/>
    <w:rsid w:val="00113F95"/>
    <w:rsid w:val="001345E4"/>
    <w:rsid w:val="00177160"/>
    <w:rsid w:val="00233ADC"/>
    <w:rsid w:val="00285435"/>
    <w:rsid w:val="002D499A"/>
    <w:rsid w:val="0033739A"/>
    <w:rsid w:val="003757BF"/>
    <w:rsid w:val="00390BDE"/>
    <w:rsid w:val="003D7888"/>
    <w:rsid w:val="003E04E2"/>
    <w:rsid w:val="00430895"/>
    <w:rsid w:val="00497433"/>
    <w:rsid w:val="004C082D"/>
    <w:rsid w:val="004D624C"/>
    <w:rsid w:val="004E42C9"/>
    <w:rsid w:val="00587A82"/>
    <w:rsid w:val="005A6803"/>
    <w:rsid w:val="006002A7"/>
    <w:rsid w:val="0062271E"/>
    <w:rsid w:val="006A3DA1"/>
    <w:rsid w:val="006A55F9"/>
    <w:rsid w:val="006C3F97"/>
    <w:rsid w:val="006F5A1B"/>
    <w:rsid w:val="007124AC"/>
    <w:rsid w:val="00746F16"/>
    <w:rsid w:val="007B3EA1"/>
    <w:rsid w:val="007E11F7"/>
    <w:rsid w:val="007F6441"/>
    <w:rsid w:val="00890E8A"/>
    <w:rsid w:val="008B4612"/>
    <w:rsid w:val="008C5014"/>
    <w:rsid w:val="008E1480"/>
    <w:rsid w:val="00901336"/>
    <w:rsid w:val="00970E91"/>
    <w:rsid w:val="009752D5"/>
    <w:rsid w:val="009951A7"/>
    <w:rsid w:val="009A1523"/>
    <w:rsid w:val="009B1C92"/>
    <w:rsid w:val="009C4862"/>
    <w:rsid w:val="009E5430"/>
    <w:rsid w:val="009F07F5"/>
    <w:rsid w:val="00A10B46"/>
    <w:rsid w:val="00A14CE7"/>
    <w:rsid w:val="00A17167"/>
    <w:rsid w:val="00AF2155"/>
    <w:rsid w:val="00B207D8"/>
    <w:rsid w:val="00B530E6"/>
    <w:rsid w:val="00B85181"/>
    <w:rsid w:val="00B92E73"/>
    <w:rsid w:val="00C20C6A"/>
    <w:rsid w:val="00C31192"/>
    <w:rsid w:val="00C55B5D"/>
    <w:rsid w:val="00CB576F"/>
    <w:rsid w:val="00CF7BDF"/>
    <w:rsid w:val="00D037DC"/>
    <w:rsid w:val="00D0626D"/>
    <w:rsid w:val="00D20A23"/>
    <w:rsid w:val="00D767FF"/>
    <w:rsid w:val="00DE2DB9"/>
    <w:rsid w:val="00DF4D99"/>
    <w:rsid w:val="00E06F98"/>
    <w:rsid w:val="00E52CA5"/>
    <w:rsid w:val="00E53096"/>
    <w:rsid w:val="00E97F87"/>
    <w:rsid w:val="00EA0947"/>
    <w:rsid w:val="00EB7A02"/>
    <w:rsid w:val="00F14040"/>
    <w:rsid w:val="00F358A0"/>
    <w:rsid w:val="00F4103B"/>
    <w:rsid w:val="00FA14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587A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A82"/>
    <w:rPr>
      <w:sz w:val="20"/>
      <w:szCs w:val="20"/>
    </w:rPr>
  </w:style>
  <w:style w:type="character" w:styleId="FootnoteReference">
    <w:name w:val="footnote reference"/>
    <w:basedOn w:val="DefaultParagraphFont"/>
    <w:uiPriority w:val="99"/>
    <w:semiHidden/>
    <w:unhideWhenUsed/>
    <w:rsid w:val="00587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084">
      <w:bodyDiv w:val="1"/>
      <w:marLeft w:val="0"/>
      <w:marRight w:val="0"/>
      <w:marTop w:val="0"/>
      <w:marBottom w:val="0"/>
      <w:divBdr>
        <w:top w:val="none" w:sz="0" w:space="0" w:color="auto"/>
        <w:left w:val="none" w:sz="0" w:space="0" w:color="auto"/>
        <w:bottom w:val="none" w:sz="0" w:space="0" w:color="auto"/>
        <w:right w:val="none" w:sz="0" w:space="0" w:color="auto"/>
      </w:divBdr>
    </w:div>
    <w:div w:id="333261948">
      <w:bodyDiv w:val="1"/>
      <w:marLeft w:val="0"/>
      <w:marRight w:val="0"/>
      <w:marTop w:val="0"/>
      <w:marBottom w:val="0"/>
      <w:divBdr>
        <w:top w:val="none" w:sz="0" w:space="0" w:color="auto"/>
        <w:left w:val="none" w:sz="0" w:space="0" w:color="auto"/>
        <w:bottom w:val="none" w:sz="0" w:space="0" w:color="auto"/>
        <w:right w:val="none" w:sz="0" w:space="0" w:color="auto"/>
      </w:divBdr>
    </w:div>
    <w:div w:id="556404777">
      <w:bodyDiv w:val="1"/>
      <w:marLeft w:val="0"/>
      <w:marRight w:val="0"/>
      <w:marTop w:val="0"/>
      <w:marBottom w:val="0"/>
      <w:divBdr>
        <w:top w:val="none" w:sz="0" w:space="0" w:color="auto"/>
        <w:left w:val="none" w:sz="0" w:space="0" w:color="auto"/>
        <w:bottom w:val="none" w:sz="0" w:space="0" w:color="auto"/>
        <w:right w:val="none" w:sz="0" w:space="0" w:color="auto"/>
      </w:divBdr>
    </w:div>
    <w:div w:id="721758545">
      <w:bodyDiv w:val="1"/>
      <w:marLeft w:val="0"/>
      <w:marRight w:val="0"/>
      <w:marTop w:val="0"/>
      <w:marBottom w:val="0"/>
      <w:divBdr>
        <w:top w:val="none" w:sz="0" w:space="0" w:color="auto"/>
        <w:left w:val="none" w:sz="0" w:space="0" w:color="auto"/>
        <w:bottom w:val="none" w:sz="0" w:space="0" w:color="auto"/>
        <w:right w:val="none" w:sz="0" w:space="0" w:color="auto"/>
      </w:divBdr>
    </w:div>
    <w:div w:id="740058119">
      <w:bodyDiv w:val="1"/>
      <w:marLeft w:val="0"/>
      <w:marRight w:val="0"/>
      <w:marTop w:val="0"/>
      <w:marBottom w:val="0"/>
      <w:divBdr>
        <w:top w:val="none" w:sz="0" w:space="0" w:color="auto"/>
        <w:left w:val="none" w:sz="0" w:space="0" w:color="auto"/>
        <w:bottom w:val="none" w:sz="0" w:space="0" w:color="auto"/>
        <w:right w:val="none" w:sz="0" w:space="0" w:color="auto"/>
      </w:divBdr>
    </w:div>
    <w:div w:id="883710849">
      <w:bodyDiv w:val="1"/>
      <w:marLeft w:val="0"/>
      <w:marRight w:val="0"/>
      <w:marTop w:val="0"/>
      <w:marBottom w:val="0"/>
      <w:divBdr>
        <w:top w:val="none" w:sz="0" w:space="0" w:color="auto"/>
        <w:left w:val="none" w:sz="0" w:space="0" w:color="auto"/>
        <w:bottom w:val="none" w:sz="0" w:space="0" w:color="auto"/>
        <w:right w:val="none" w:sz="0" w:space="0" w:color="auto"/>
      </w:divBdr>
    </w:div>
    <w:div w:id="1144201008">
      <w:bodyDiv w:val="1"/>
      <w:marLeft w:val="0"/>
      <w:marRight w:val="0"/>
      <w:marTop w:val="0"/>
      <w:marBottom w:val="0"/>
      <w:divBdr>
        <w:top w:val="none" w:sz="0" w:space="0" w:color="auto"/>
        <w:left w:val="none" w:sz="0" w:space="0" w:color="auto"/>
        <w:bottom w:val="none" w:sz="0" w:space="0" w:color="auto"/>
        <w:right w:val="none" w:sz="0" w:space="0" w:color="auto"/>
      </w:divBdr>
    </w:div>
    <w:div w:id="1187402929">
      <w:bodyDiv w:val="1"/>
      <w:marLeft w:val="0"/>
      <w:marRight w:val="0"/>
      <w:marTop w:val="0"/>
      <w:marBottom w:val="0"/>
      <w:divBdr>
        <w:top w:val="none" w:sz="0" w:space="0" w:color="auto"/>
        <w:left w:val="none" w:sz="0" w:space="0" w:color="auto"/>
        <w:bottom w:val="none" w:sz="0" w:space="0" w:color="auto"/>
        <w:right w:val="none" w:sz="0" w:space="0" w:color="auto"/>
      </w:divBdr>
    </w:div>
    <w:div w:id="1312367118">
      <w:bodyDiv w:val="1"/>
      <w:marLeft w:val="0"/>
      <w:marRight w:val="0"/>
      <w:marTop w:val="0"/>
      <w:marBottom w:val="0"/>
      <w:divBdr>
        <w:top w:val="none" w:sz="0" w:space="0" w:color="auto"/>
        <w:left w:val="none" w:sz="0" w:space="0" w:color="auto"/>
        <w:bottom w:val="none" w:sz="0" w:space="0" w:color="auto"/>
        <w:right w:val="none" w:sz="0" w:space="0" w:color="auto"/>
      </w:divBdr>
    </w:div>
    <w:div w:id="16071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srvfas4\MI_Public\4.%20Statistieken%20-%20Statistiques\30.%20WG%20Sociale%20Impact%20Crisis\Overzicht%20data%202025.05%20-%20monitoring_sociale%20impactenqu&#234;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fr-BE" sz="1100" b="1"/>
              <a:t>Aanvullende hulp: evolutie van het aantal aanvragen</a:t>
            </a:r>
            <a:endParaRPr lang="fr-BE" sz="11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nl-BE"/>
        </a:p>
      </c:txPr>
    </c:title>
    <c:autoTitleDeleted val="0"/>
    <c:plotArea>
      <c:layout/>
      <c:lineChart>
        <c:grouping val="standard"/>
        <c:varyColors val="0"/>
        <c:ser>
          <c:idx val="12"/>
          <c:order val="2"/>
          <c:tx>
            <c:strRef>
              <c:f>'Begunstigden_soc. imp. enquête'!$BT$14</c:f>
              <c:strCache>
                <c:ptCount val="1"/>
                <c:pt idx="0">
                  <c:v>Aide alimentaire</c:v>
                </c:pt>
              </c:strCache>
            </c:strRef>
          </c:tx>
          <c:spPr>
            <a:ln w="28575" cap="rnd">
              <a:solidFill>
                <a:srgbClr val="00B050"/>
              </a:solidFill>
              <a:round/>
            </a:ln>
            <a:effectLst/>
          </c:spPr>
          <c:marker>
            <c:symbol val="triangle"/>
            <c:size val="5"/>
            <c:spPr>
              <a:solidFill>
                <a:srgbClr val="00B050"/>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enquête'!$Z$14:$BE$14</c:f>
              <c:numCache>
                <c:formatCode>0</c:formatCode>
                <c:ptCount val="32"/>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numCache>
            </c:numRef>
          </c:val>
          <c:smooth val="0"/>
          <c:extLst>
            <c:ext xmlns:c16="http://schemas.microsoft.com/office/drawing/2014/chart" uri="{C3380CC4-5D6E-409C-BE32-E72D297353CC}">
              <c16:uniqueId val="{00000002-32B5-4A12-AC98-17F635797978}"/>
            </c:ext>
          </c:extLst>
        </c:ser>
        <c:ser>
          <c:idx val="13"/>
          <c:order val="3"/>
          <c:tx>
            <c:strRef>
              <c:f>'Begunstigden_soc. imp. enquête'!$BT$15</c:f>
              <c:strCache>
                <c:ptCount val="1"/>
                <c:pt idx="0">
                  <c:v>Aide alimentaire - chiffres provisoires</c:v>
                </c:pt>
              </c:strCache>
            </c:strRef>
          </c:tx>
          <c:spPr>
            <a:ln w="28575" cap="rnd">
              <a:solidFill>
                <a:schemeClr val="accent6"/>
              </a:solidFill>
              <a:prstDash val="sysDot"/>
              <a:round/>
            </a:ln>
            <a:effectLst/>
          </c:spPr>
          <c:marker>
            <c:symbol val="circle"/>
            <c:size val="5"/>
            <c:spPr>
              <a:solidFill>
                <a:schemeClr val="accent6"/>
              </a:solidFill>
              <a:ln w="9525">
                <a:noFill/>
              </a:ln>
              <a:effectLst/>
            </c:spPr>
          </c:marker>
          <c:cat>
            <c:numRef>
              <c:f>'Begunstigden_soc. imp. enquête'!$Z$1:$BI$1</c:f>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f>'Begunstigden_soc. imp. enquête'!$Z$15:$BI$15</c:f>
              <c:numCache>
                <c:formatCode>0</c:formatCode>
                <c:ptCount val="36"/>
                <c:pt idx="0">
                  <c:v>52656.929607708735</c:v>
                </c:pt>
                <c:pt idx="1">
                  <c:v>56611.526160627698</c:v>
                </c:pt>
                <c:pt idx="2">
                  <c:v>61740.996817382176</c:v>
                </c:pt>
                <c:pt idx="3">
                  <c:v>64174.454412994208</c:v>
                </c:pt>
                <c:pt idx="4">
                  <c:v>66889.28590644084</c:v>
                </c:pt>
                <c:pt idx="5">
                  <c:v>72442.56878005754</c:v>
                </c:pt>
                <c:pt idx="6">
                  <c:v>58892.583966505721</c:v>
                </c:pt>
                <c:pt idx="7">
                  <c:v>67374.26747584049</c:v>
                </c:pt>
                <c:pt idx="8">
                  <c:v>70351.172983902463</c:v>
                </c:pt>
                <c:pt idx="9">
                  <c:v>69478.086259995165</c:v>
                </c:pt>
                <c:pt idx="10">
                  <c:v>73327.791283350656</c:v>
                </c:pt>
                <c:pt idx="11">
                  <c:v>83287.62259989015</c:v>
                </c:pt>
                <c:pt idx="12">
                  <c:v>88753.303659627461</c:v>
                </c:pt>
                <c:pt idx="13">
                  <c:v>91992.992810774274</c:v>
                </c:pt>
                <c:pt idx="14">
                  <c:v>96672.010042088645</c:v>
                </c:pt>
                <c:pt idx="15">
                  <c:v>87000.264955435327</c:v>
                </c:pt>
                <c:pt idx="16">
                  <c:v>92053.359013518872</c:v>
                </c:pt>
                <c:pt idx="17">
                  <c:v>93412.424061573896</c:v>
                </c:pt>
                <c:pt idx="18">
                  <c:v>89328.344835456708</c:v>
                </c:pt>
                <c:pt idx="19">
                  <c:v>101433.92897766504</c:v>
                </c:pt>
                <c:pt idx="20">
                  <c:v>94514.548167450819</c:v>
                </c:pt>
                <c:pt idx="21">
                  <c:v>99989.925425624213</c:v>
                </c:pt>
                <c:pt idx="22">
                  <c:v>100977.84957631228</c:v>
                </c:pt>
                <c:pt idx="23">
                  <c:v>89249.461187980676</c:v>
                </c:pt>
                <c:pt idx="24">
                  <c:v>94948.15575776709</c:v>
                </c:pt>
                <c:pt idx="25">
                  <c:v>97264.907568293187</c:v>
                </c:pt>
                <c:pt idx="26">
                  <c:v>96912.341494988403</c:v>
                </c:pt>
                <c:pt idx="27">
                  <c:v>101166.23035613325</c:v>
                </c:pt>
                <c:pt idx="28">
                  <c:v>98754.578820280905</c:v>
                </c:pt>
                <c:pt idx="29">
                  <c:v>101474.31381327618</c:v>
                </c:pt>
                <c:pt idx="30">
                  <c:v>96496.434635895392</c:v>
                </c:pt>
                <c:pt idx="31">
                  <c:v>92584.913968452631</c:v>
                </c:pt>
                <c:pt idx="32">
                  <c:v>100903.97256613722</c:v>
                </c:pt>
                <c:pt idx="33">
                  <c:v>111336.97111444494</c:v>
                </c:pt>
                <c:pt idx="34">
                  <c:v>94264.11266373095</c:v>
                </c:pt>
                <c:pt idx="35">
                  <c:v>92274.425589411811</c:v>
                </c:pt>
              </c:numCache>
            </c:numRef>
          </c:val>
          <c:smooth val="0"/>
          <c:extLst xmlns:c15="http://schemas.microsoft.com/office/drawing/2012/chart">
            <c:ext xmlns:c16="http://schemas.microsoft.com/office/drawing/2014/chart" uri="{C3380CC4-5D6E-409C-BE32-E72D297353CC}">
              <c16:uniqueId val="{00000003-32B5-4A12-AC98-17F635797978}"/>
            </c:ext>
          </c:extLst>
        </c:ser>
        <c:ser>
          <c:idx val="4"/>
          <c:order val="8"/>
          <c:tx>
            <c:strRef>
              <c:f>'Begunstigden_soc. imp. enquête'!$BT$16</c:f>
              <c:strCache>
                <c:ptCount val="1"/>
                <c:pt idx="0">
                  <c:v>Aide pour l'eau et l'énergie</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val>
            <c:numRef>
              <c:f>'Begunstigden_soc. imp. enquête'!$B$16:$BI$16</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4-32B5-4A12-AC98-17F635797978}"/>
            </c:ext>
          </c:extLst>
        </c:ser>
        <c:ser>
          <c:idx val="5"/>
          <c:order val="9"/>
          <c:tx>
            <c:strRef>
              <c:f>'Begunstigden_soc. imp. enquête'!$BT$17</c:f>
              <c:strCache>
                <c:ptCount val="1"/>
                <c:pt idx="0">
                  <c:v>Aide pour l'eau et l'énergie - chiffres provisoires</c:v>
                </c:pt>
              </c:strCache>
            </c:strRef>
          </c:tx>
          <c:spPr>
            <a:ln w="28575" cap="rnd">
              <a:solidFill>
                <a:schemeClr val="accent1">
                  <a:lumMod val="60000"/>
                  <a:lumOff val="40000"/>
                </a:schemeClr>
              </a:solidFill>
              <a:prstDash val="sysDot"/>
              <a:round/>
            </a:ln>
            <a:effectLst/>
          </c:spPr>
          <c:marker>
            <c:symbol val="circle"/>
            <c:size val="5"/>
            <c:spPr>
              <a:solidFill>
                <a:schemeClr val="accent1">
                  <a:lumMod val="60000"/>
                  <a:lumOff val="40000"/>
                </a:schemeClr>
              </a:solidFill>
              <a:ln w="9525">
                <a:solidFill>
                  <a:schemeClr val="accent1">
                    <a:lumMod val="60000"/>
                    <a:lumOff val="40000"/>
                  </a:schemeClr>
                </a:solidFill>
                <a:prstDash val="sysDot"/>
              </a:ln>
              <a:effectLst/>
            </c:spPr>
          </c:marker>
          <c:val>
            <c:numRef>
              <c:f>'Begunstigden_soc. imp. enquête'!$B$17:$BI$17</c:f>
              <c:numCache>
                <c:formatCode>General</c:formatCode>
                <c:ptCount val="60"/>
                <c:pt idx="24" formatCode="0">
                  <c:v>17410.180684135961</c:v>
                </c:pt>
                <c:pt idx="25" formatCode="0">
                  <c:v>20950.821214065807</c:v>
                </c:pt>
                <c:pt idx="26" formatCode="0">
                  <c:v>44799.278157646513</c:v>
                </c:pt>
                <c:pt idx="27" formatCode="0">
                  <c:v>31656.811159270048</c:v>
                </c:pt>
                <c:pt idx="28" formatCode="0">
                  <c:v>27079.796105687965</c:v>
                </c:pt>
                <c:pt idx="29" formatCode="0">
                  <c:v>9260.6768522763305</c:v>
                </c:pt>
                <c:pt idx="30" formatCode="0">
                  <c:v>25555.207385766811</c:v>
                </c:pt>
                <c:pt idx="31" formatCode="0">
                  <c:v>50607.721171727928</c:v>
                </c:pt>
                <c:pt idx="32" formatCode="0">
                  <c:v>74437.229503224633</c:v>
                </c:pt>
                <c:pt idx="33" formatCode="0">
                  <c:v>17764.37978900057</c:v>
                </c:pt>
                <c:pt idx="34" formatCode="0">
                  <c:v>20999.338423618472</c:v>
                </c:pt>
                <c:pt idx="35" formatCode="0">
                  <c:v>23077.962237284344</c:v>
                </c:pt>
                <c:pt idx="36" formatCode="0">
                  <c:v>14745.891630084154</c:v>
                </c:pt>
                <c:pt idx="37" formatCode="0">
                  <c:v>16414.292218125425</c:v>
                </c:pt>
                <c:pt idx="38" formatCode="0">
                  <c:v>14920.796618722605</c:v>
                </c:pt>
                <c:pt idx="39" formatCode="0">
                  <c:v>9797.5379123109215</c:v>
                </c:pt>
                <c:pt idx="40" formatCode="0">
                  <c:v>8746.8465373137733</c:v>
                </c:pt>
                <c:pt idx="41" formatCode="0">
                  <c:v>8863.2845187848325</c:v>
                </c:pt>
                <c:pt idx="42" formatCode="0">
                  <c:v>7150.2668271700059</c:v>
                </c:pt>
                <c:pt idx="43" formatCode="0">
                  <c:v>5984.78373680801</c:v>
                </c:pt>
                <c:pt idx="44" formatCode="0">
                  <c:v>6718.6128672913683</c:v>
                </c:pt>
                <c:pt idx="45" formatCode="0">
                  <c:v>9079.5164111708164</c:v>
                </c:pt>
                <c:pt idx="46" formatCode="0">
                  <c:v>16053.344313367645</c:v>
                </c:pt>
                <c:pt idx="47" formatCode="0">
                  <c:v>26689.559495322552</c:v>
                </c:pt>
                <c:pt idx="48" formatCode="0">
                  <c:v>12647.445609135173</c:v>
                </c:pt>
                <c:pt idx="49" formatCode="0">
                  <c:v>13403.47875958819</c:v>
                </c:pt>
                <c:pt idx="50" formatCode="0">
                  <c:v>12440.410773409236</c:v>
                </c:pt>
                <c:pt idx="51" formatCode="0">
                  <c:v>8392.6924387272284</c:v>
                </c:pt>
                <c:pt idx="52" formatCode="0">
                  <c:v>6602.4052259404352</c:v>
                </c:pt>
                <c:pt idx="53" formatCode="0">
                  <c:v>6843.0803485244942</c:v>
                </c:pt>
                <c:pt idx="54" formatCode="0">
                  <c:v>5619.37350467131</c:v>
                </c:pt>
                <c:pt idx="55" formatCode="0">
                  <c:v>4725.9748020362395</c:v>
                </c:pt>
                <c:pt idx="56" formatCode="0">
                  <c:v>5429.7342881869145</c:v>
                </c:pt>
                <c:pt idx="57" formatCode="0">
                  <c:v>8087.6943769432137</c:v>
                </c:pt>
                <c:pt idx="58" formatCode="0">
                  <c:v>12232.52954536892</c:v>
                </c:pt>
                <c:pt idx="59" formatCode="0">
                  <c:v>13800.833066362426</c:v>
                </c:pt>
              </c:numCache>
            </c:numRef>
          </c:val>
          <c:smooth val="0"/>
          <c:extLst>
            <c:ext xmlns:c16="http://schemas.microsoft.com/office/drawing/2014/chart" uri="{C3380CC4-5D6E-409C-BE32-E72D297353CC}">
              <c16:uniqueId val="{00000005-32B5-4A12-AC98-17F635797978}"/>
            </c:ext>
          </c:extLst>
        </c:ser>
        <c:dLbls>
          <c:showLegendKey val="0"/>
          <c:showVal val="0"/>
          <c:showCatName val="0"/>
          <c:showSerName val="0"/>
          <c:showPercent val="0"/>
          <c:showBubbleSize val="0"/>
        </c:dLbls>
        <c:marker val="1"/>
        <c:smooth val="0"/>
        <c:axId val="449351600"/>
        <c:axId val="449349936"/>
        <c:extLst>
          <c:ext xmlns:c15="http://schemas.microsoft.com/office/drawing/2012/chart" uri="{02D57815-91ED-43cb-92C2-25804820EDAC}">
            <c15:filteredLineSeries>
              <c15:ser>
                <c:idx val="6"/>
                <c:order val="0"/>
                <c:tx>
                  <c:strRef>
                    <c:extLst>
                      <c:ext uri="{02D57815-91ED-43cb-92C2-25804820EDAC}">
                        <c15:formulaRef>
                          <c15:sqref>'Begunstigden_soc. imp. enquête'!$BT$8</c15:sqref>
                        </c15:formulaRef>
                      </c:ext>
                    </c:extLst>
                    <c:strCache>
                      <c:ptCount val="1"/>
                      <c:pt idx="0">
                        <c:v>Lutte contre la pauvreté infantile</c:v>
                      </c:pt>
                    </c:strCache>
                  </c:strRef>
                </c:tx>
                <c:spPr>
                  <a:ln w="28575" cap="rnd">
                    <a:solidFill>
                      <a:schemeClr val="accent2">
                        <a:lumMod val="75000"/>
                      </a:schemeClr>
                    </a:solidFill>
                    <a:round/>
                  </a:ln>
                  <a:effectLst/>
                </c:spPr>
                <c:marker>
                  <c:symbol val="square"/>
                  <c:size val="5"/>
                  <c:spPr>
                    <a:solidFill>
                      <a:schemeClr val="accent2">
                        <a:lumMod val="75000"/>
                      </a:schemeClr>
                    </a:solidFill>
                    <a:ln w="9525">
                      <a:solidFill>
                        <a:schemeClr val="accent2">
                          <a:lumMod val="75000"/>
                        </a:schemeClr>
                      </a:solidFill>
                    </a:ln>
                    <a:effectLst/>
                  </c:spPr>
                </c:marker>
                <c:cat>
                  <c:numRef>
                    <c:extLst>
                      <c:ex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c:ext uri="{02D57815-91ED-43cb-92C2-25804820EDAC}">
                        <c15:formulaRef>
                          <c15:sqref>'Begunstigden_soc. imp. enquête'!$Z$8:$BG$8</c15:sqref>
                        </c15:formulaRef>
                      </c:ext>
                    </c:extLst>
                    <c:numCache>
                      <c:formatCode>0</c:formatCode>
                      <c:ptCount val="34"/>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numCache>
                  </c:numRef>
                </c:val>
                <c:smooth val="0"/>
                <c:extLst>
                  <c:ext xmlns:c16="http://schemas.microsoft.com/office/drawing/2014/chart" uri="{C3380CC4-5D6E-409C-BE32-E72D297353CC}">
                    <c16:uniqueId val="{00000006-32B5-4A12-AC98-17F635797978}"/>
                  </c:ext>
                </c:extLst>
              </c15:ser>
            </c15:filteredLineSeries>
            <c15:filteredLineSeries>
              <c15:ser>
                <c:idx val="7"/>
                <c:order val="1"/>
                <c:tx>
                  <c:strRef>
                    <c:extLst xmlns:c15="http://schemas.microsoft.com/office/drawing/2012/chart">
                      <c:ext xmlns:c15="http://schemas.microsoft.com/office/drawing/2012/chart" uri="{02D57815-91ED-43cb-92C2-25804820EDAC}">
                        <c15:formulaRef>
                          <c15:sqref>'Begunstigden_soc. imp. enquête'!$BT$9</c15:sqref>
                        </c15:formulaRef>
                      </c:ext>
                    </c:extLst>
                    <c:strCache>
                      <c:ptCount val="1"/>
                      <c:pt idx="0">
                        <c:v>Lutte contre la pauvreté infantile - chiffres provisoires</c:v>
                      </c:pt>
                    </c:strCache>
                  </c:strRef>
                </c:tx>
                <c:spPr>
                  <a:ln w="28575" cap="rnd">
                    <a:solidFill>
                      <a:schemeClr val="accent2">
                        <a:lumMod val="75000"/>
                      </a:schemeClr>
                    </a:solidFill>
                    <a:prstDash val="sysDash"/>
                    <a:round/>
                  </a:ln>
                  <a:effectLst/>
                </c:spPr>
                <c:marker>
                  <c:symbol val="circle"/>
                  <c:size val="5"/>
                  <c:spPr>
                    <a:solidFill>
                      <a:schemeClr val="accent2">
                        <a:lumMod val="60000"/>
                      </a:schemeClr>
                    </a:solid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enquête'!$Z$9:$BI$9</c15:sqref>
                        </c15:formulaRef>
                      </c:ext>
                    </c:extLst>
                    <c:numCache>
                      <c:formatCode>0</c:formatCode>
                      <c:ptCount val="36"/>
                      <c:pt idx="0">
                        <c:v>6537.9053899414175</c:v>
                      </c:pt>
                      <c:pt idx="1">
                        <c:v>7657.5721197086623</c:v>
                      </c:pt>
                      <c:pt idx="2">
                        <c:v>8027.4244174380938</c:v>
                      </c:pt>
                      <c:pt idx="3">
                        <c:v>6561.3788167382345</c:v>
                      </c:pt>
                      <c:pt idx="4">
                        <c:v>8517.9979682365865</c:v>
                      </c:pt>
                      <c:pt idx="5">
                        <c:v>8349.2540539278107</c:v>
                      </c:pt>
                      <c:pt idx="6">
                        <c:v>5358.2294631722571</c:v>
                      </c:pt>
                      <c:pt idx="7">
                        <c:v>5549.0194038108157</c:v>
                      </c:pt>
                      <c:pt idx="8">
                        <c:v>6558.0451630357511</c:v>
                      </c:pt>
                      <c:pt idx="9">
                        <c:v>8499.4742154050382</c:v>
                      </c:pt>
                      <c:pt idx="10">
                        <c:v>8135.8518659218335</c:v>
                      </c:pt>
                      <c:pt idx="11">
                        <c:v>12311.372364241324</c:v>
                      </c:pt>
                      <c:pt idx="12">
                        <c:v>5643.5193793396329</c:v>
                      </c:pt>
                      <c:pt idx="13">
                        <c:v>7118.1026912315947</c:v>
                      </c:pt>
                      <c:pt idx="14">
                        <c:v>10585.34516692965</c:v>
                      </c:pt>
                      <c:pt idx="15">
                        <c:v>12000.90128645036</c:v>
                      </c:pt>
                      <c:pt idx="16">
                        <c:v>12379.150003798437</c:v>
                      </c:pt>
                      <c:pt idx="17">
                        <c:v>12598.648298752161</c:v>
                      </c:pt>
                      <c:pt idx="18">
                        <c:v>11735.2254144463</c:v>
                      </c:pt>
                      <c:pt idx="19">
                        <c:v>6346.1894689528472</c:v>
                      </c:pt>
                      <c:pt idx="20">
                        <c:v>7166.7021235213206</c:v>
                      </c:pt>
                      <c:pt idx="21">
                        <c:v>11911.171385501639</c:v>
                      </c:pt>
                      <c:pt idx="22">
                        <c:v>8569.359239821315</c:v>
                      </c:pt>
                      <c:pt idx="23">
                        <c:v>10092.309009902643</c:v>
                      </c:pt>
                      <c:pt idx="24">
                        <c:v>6011.794516428391</c:v>
                      </c:pt>
                      <c:pt idx="25">
                        <c:v>6233.6620831150158</c:v>
                      </c:pt>
                      <c:pt idx="26">
                        <c:v>8968.5771803462085</c:v>
                      </c:pt>
                      <c:pt idx="27">
                        <c:v>8970.8972936111404</c:v>
                      </c:pt>
                      <c:pt idx="28">
                        <c:v>7097.4527076378308</c:v>
                      </c:pt>
                      <c:pt idx="29">
                        <c:v>6880.8216295467</c:v>
                      </c:pt>
                      <c:pt idx="30">
                        <c:v>6614.4294523626086</c:v>
                      </c:pt>
                      <c:pt idx="31">
                        <c:v>4399.5093748048312</c:v>
                      </c:pt>
                      <c:pt idx="32">
                        <c:v>5072.8142972685837</c:v>
                      </c:pt>
                      <c:pt idx="33">
                        <c:v>9892.6250984418948</c:v>
                      </c:pt>
                      <c:pt idx="34">
                        <c:v>8007.5935782092274</c:v>
                      </c:pt>
                      <c:pt idx="35">
                        <c:v>8480.2698137138996</c:v>
                      </c:pt>
                    </c:numCache>
                  </c:numRef>
                </c:val>
                <c:smooth val="0"/>
                <c:extLst xmlns:c15="http://schemas.microsoft.com/office/drawing/2012/chart">
                  <c:ext xmlns:c16="http://schemas.microsoft.com/office/drawing/2014/chart" uri="{C3380CC4-5D6E-409C-BE32-E72D297353CC}">
                    <c16:uniqueId val="{00000007-32B5-4A12-AC98-17F635797978}"/>
                  </c:ext>
                </c:extLst>
              </c15:ser>
            </c15:filteredLineSeries>
            <c15:filteredLineSeries>
              <c15:ser>
                <c:idx val="2"/>
                <c:order val="4"/>
                <c:tx>
                  <c:strRef>
                    <c:extLst xmlns:c15="http://schemas.microsoft.com/office/drawing/2012/chart">
                      <c:ext xmlns:c15="http://schemas.microsoft.com/office/drawing/2012/chart" uri="{02D57815-91ED-43cb-92C2-25804820EDAC}">
                        <c15:formulaRef>
                          <c15:sqref>'Begunstigden_soc. imp. enquête'!$A$4</c15:sqref>
                        </c15:formulaRef>
                      </c:ext>
                    </c:extLst>
                    <c:strCache>
                      <c:ptCount val="1"/>
                      <c:pt idx="0">
                        <c:v>Leefloon in vorm van voorschot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enquête'!$Z$4:$AZ$4</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8-32B5-4A12-AC98-17F635797978}"/>
                  </c:ext>
                </c:extLst>
              </c15:ser>
            </c15:filteredLineSeries>
            <c15:filteredLineSeries>
              <c15:ser>
                <c:idx val="3"/>
                <c:order val="5"/>
                <c:tx>
                  <c:strRef>
                    <c:extLst xmlns:c15="http://schemas.microsoft.com/office/drawing/2012/chart">
                      <c:ext xmlns:c15="http://schemas.microsoft.com/office/drawing/2012/chart" uri="{02D57815-91ED-43cb-92C2-25804820EDAC}">
                        <c15:formulaRef>
                          <c15:sqref>'Begunstigden_soc. imp. enquête'!$A$5</c15:sqref>
                        </c15:formulaRef>
                      </c:ext>
                    </c:extLst>
                    <c:strCache>
                      <c:ptCount val="1"/>
                      <c:pt idx="0">
                        <c:v>Leefloon in vorm van voorschot - voorlopig cijfer</c:v>
                      </c:pt>
                    </c:strCache>
                  </c:strRef>
                </c:tx>
                <c:spPr>
                  <a:ln w="28575" cap="rnd">
                    <a:solidFill>
                      <a:schemeClr val="accent4"/>
                    </a:solidFill>
                    <a:round/>
                  </a:ln>
                  <a:effectLst/>
                </c:spPr>
                <c:marker>
                  <c:symbol val="circle"/>
                  <c:size val="5"/>
                  <c:spPr>
                    <a:solidFill>
                      <a:srgbClr val="7030A0"/>
                    </a:solidFill>
                    <a:ln w="9525">
                      <a:solidFill>
                        <a:schemeClr val="accent4"/>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enquête'!$Z$5:$AZ$5</c15:sqref>
                        </c15:formulaRef>
                      </c:ext>
                    </c:extLst>
                    <c:numCache>
                      <c:formatCode>0</c:formatCode>
                      <c:ptCount val="27"/>
                      <c:pt idx="0">
                        <c:v>5512.1254289405178</c:v>
                      </c:pt>
                      <c:pt idx="1">
                        <c:v>6162.9957027426572</c:v>
                      </c:pt>
                      <c:pt idx="2">
                        <c:v>6330.0068214873982</c:v>
                      </c:pt>
                      <c:pt idx="3">
                        <c:v>6453.4854718779634</c:v>
                      </c:pt>
                      <c:pt idx="4">
                        <c:v>6636.4625398431644</c:v>
                      </c:pt>
                      <c:pt idx="5">
                        <c:v>9514.2062315206131</c:v>
                      </c:pt>
                      <c:pt idx="6">
                        <c:v>9189.067530414648</c:v>
                      </c:pt>
                      <c:pt idx="7">
                        <c:v>9002.2527343124202</c:v>
                      </c:pt>
                      <c:pt idx="8">
                        <c:v>8780.6202239061531</c:v>
                      </c:pt>
                      <c:pt idx="9">
                        <c:v>9419.6647458181724</c:v>
                      </c:pt>
                      <c:pt idx="10">
                        <c:v>9459.0078478433861</c:v>
                      </c:pt>
                      <c:pt idx="11">
                        <c:v>8772.8836936451062</c:v>
                      </c:pt>
                      <c:pt idx="12">
                        <c:v>9104.5242254728073</c:v>
                      </c:pt>
                      <c:pt idx="13">
                        <c:v>8772.4855525870407</c:v>
                      </c:pt>
                      <c:pt idx="14">
                        <c:v>8297.6156176710829</c:v>
                      </c:pt>
                      <c:pt idx="15">
                        <c:v>8835.4893575804363</c:v>
                      </c:pt>
                      <c:pt idx="16">
                        <c:v>9637.2239724982373</c:v>
                      </c:pt>
                      <c:pt idx="17">
                        <c:v>9457.1585338873665</c:v>
                      </c:pt>
                      <c:pt idx="18">
                        <c:v>9913.1763482158276</c:v>
                      </c:pt>
                      <c:pt idx="19">
                        <c:v>10009.761986578678</c:v>
                      </c:pt>
                      <c:pt idx="20">
                        <c:v>10050.983854211438</c:v>
                      </c:pt>
                      <c:pt idx="21">
                        <c:v>10615.154528502269</c:v>
                      </c:pt>
                      <c:pt idx="22">
                        <c:v>9081.1617778896016</c:v>
                      </c:pt>
                      <c:pt idx="23">
                        <c:v>8795.9889756447592</c:v>
                      </c:pt>
                      <c:pt idx="24">
                        <c:v>13840.557518109108</c:v>
                      </c:pt>
                      <c:pt idx="25">
                        <c:v>13206.347962253378</c:v>
                      </c:pt>
                      <c:pt idx="26">
                        <c:v>13300.788178013809</c:v>
                      </c:pt>
                    </c:numCache>
                  </c:numRef>
                </c:val>
                <c:smooth val="0"/>
                <c:extLst xmlns:c15="http://schemas.microsoft.com/office/drawing/2012/chart">
                  <c:ext xmlns:c16="http://schemas.microsoft.com/office/drawing/2014/chart" uri="{C3380CC4-5D6E-409C-BE32-E72D297353CC}">
                    <c16:uniqueId val="{00000009-32B5-4A12-AC98-17F635797978}"/>
                  </c:ext>
                </c:extLst>
              </c15:ser>
            </c15:filteredLineSeries>
            <c15:filteredLineSeries>
              <c15:ser>
                <c:idx val="11"/>
                <c:order val="6"/>
                <c:tx>
                  <c:strRef>
                    <c:extLst xmlns:c15="http://schemas.microsoft.com/office/drawing/2012/chart">
                      <c:ext xmlns:c15="http://schemas.microsoft.com/office/drawing/2012/chart" uri="{02D57815-91ED-43cb-92C2-25804820EDAC}">
                        <c15:formulaRef>
                          <c15:sqref>'Begunstigden_soc. imp. enquête'!$A$20</c15:sqref>
                        </c15:formulaRef>
                      </c:ext>
                    </c:extLst>
                    <c:strCache>
                      <c:ptCount val="1"/>
                      <c:pt idx="0">
                        <c:v>Financiële hulp</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enquête'!$Z$20:$BC$20</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A-32B5-4A12-AC98-17F635797978}"/>
                  </c:ext>
                </c:extLst>
              </c15:ser>
            </c15:filteredLineSeries>
            <c15:filteredLineSeries>
              <c15:ser>
                <c:idx val="14"/>
                <c:order val="7"/>
                <c:tx>
                  <c:strRef>
                    <c:extLst xmlns:c15="http://schemas.microsoft.com/office/drawing/2012/chart">
                      <c:ext xmlns:c15="http://schemas.microsoft.com/office/drawing/2012/chart" uri="{02D57815-91ED-43cb-92C2-25804820EDAC}">
                        <c15:formulaRef>
                          <c15:sqref>'Begunstigden_soc. imp. enquête'!$A$21</c15:sqref>
                        </c15:formulaRef>
                      </c:ext>
                    </c:extLst>
                    <c:strCache>
                      <c:ptCount val="1"/>
                      <c:pt idx="0">
                        <c:v>Financiële hulp - voorlopig cijfer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numRef>
                    <c:extLst xmlns:c15="http://schemas.microsoft.com/office/drawing/2012/chart">
                      <c:ext xmlns:c15="http://schemas.microsoft.com/office/drawing/2012/chart" uri="{02D57815-91ED-43cb-92C2-25804820EDAC}">
                        <c15:formulaRef>
                          <c15:sqref>'Begunstigden_soc. imp. enquête'!$Z$1:$BI$1</c15:sqref>
                        </c15:formulaRef>
                      </c:ext>
                    </c:extLst>
                    <c:numCache>
                      <c:formatCode>mmm\-yy</c:formatCode>
                      <c:ptCount val="36"/>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pt idx="24">
                        <c:v>45292</c:v>
                      </c:pt>
                      <c:pt idx="25">
                        <c:v>45323</c:v>
                      </c:pt>
                      <c:pt idx="26">
                        <c:v>45352</c:v>
                      </c:pt>
                      <c:pt idx="27">
                        <c:v>45383</c:v>
                      </c:pt>
                      <c:pt idx="28">
                        <c:v>45413</c:v>
                      </c:pt>
                      <c:pt idx="29">
                        <c:v>45444</c:v>
                      </c:pt>
                      <c:pt idx="30">
                        <c:v>45474</c:v>
                      </c:pt>
                      <c:pt idx="31">
                        <c:v>45505</c:v>
                      </c:pt>
                      <c:pt idx="32">
                        <c:v>45536</c:v>
                      </c:pt>
                      <c:pt idx="33">
                        <c:v>45566</c:v>
                      </c:pt>
                      <c:pt idx="34">
                        <c:v>45597</c:v>
                      </c:pt>
                      <c:pt idx="35">
                        <c:v>45627</c:v>
                      </c:pt>
                    </c:numCache>
                  </c:numRef>
                </c:cat>
                <c:val>
                  <c:numRef>
                    <c:extLst xmlns:c15="http://schemas.microsoft.com/office/drawing/2012/chart">
                      <c:ext xmlns:c15="http://schemas.microsoft.com/office/drawing/2012/chart" uri="{02D57815-91ED-43cb-92C2-25804820EDAC}">
                        <c15:formulaRef>
                          <c15:sqref>'Begunstigden_soc. imp. enquête'!$Z$21:$BC$21</c15:sqref>
                        </c15:formulaRef>
                      </c:ext>
                    </c:extLst>
                    <c:numCache>
                      <c:formatCode>General</c:formatCode>
                      <c:ptCount val="30"/>
                      <c:pt idx="12" formatCode="0">
                        <c:v>130126.51019354137</c:v>
                      </c:pt>
                      <c:pt idx="13" formatCode="0">
                        <c:v>102062.95777734349</c:v>
                      </c:pt>
                      <c:pt idx="14" formatCode="0">
                        <c:v>90880.005522670428</c:v>
                      </c:pt>
                      <c:pt idx="15" formatCode="0">
                        <c:v>99128.570286731017</c:v>
                      </c:pt>
                      <c:pt idx="16" formatCode="0">
                        <c:v>97954.343106122789</c:v>
                      </c:pt>
                      <c:pt idx="17" formatCode="0">
                        <c:v>96193.718177704111</c:v>
                      </c:pt>
                      <c:pt idx="18" formatCode="0">
                        <c:v>97389.238705533789</c:v>
                      </c:pt>
                      <c:pt idx="19" formatCode="0">
                        <c:v>97479.204014541829</c:v>
                      </c:pt>
                      <c:pt idx="20" formatCode="0">
                        <c:v>85534.099846479687</c:v>
                      </c:pt>
                      <c:pt idx="21" formatCode="0">
                        <c:v>84081.506474445647</c:v>
                      </c:pt>
                      <c:pt idx="22" formatCode="0">
                        <c:v>100064.73445919965</c:v>
                      </c:pt>
                      <c:pt idx="23" formatCode="0">
                        <c:v>96600.046192599926</c:v>
                      </c:pt>
                      <c:pt idx="24" formatCode="0">
                        <c:v>124639.92385409407</c:v>
                      </c:pt>
                      <c:pt idx="25" formatCode="0">
                        <c:v>122420.24114258043</c:v>
                      </c:pt>
                      <c:pt idx="26" formatCode="0">
                        <c:v>124172.08680491432</c:v>
                      </c:pt>
                      <c:pt idx="27" formatCode="0">
                        <c:v>125223.13870606308</c:v>
                      </c:pt>
                      <c:pt idx="28" formatCode="0">
                        <c:v>120299.17088587748</c:v>
                      </c:pt>
                      <c:pt idx="29" formatCode="0">
                        <c:v>122379.51980908249</c:v>
                      </c:pt>
                    </c:numCache>
                  </c:numRef>
                </c:val>
                <c:smooth val="0"/>
                <c:extLst xmlns:c15="http://schemas.microsoft.com/office/drawing/2012/chart">
                  <c:ext xmlns:c16="http://schemas.microsoft.com/office/drawing/2014/chart" uri="{C3380CC4-5D6E-409C-BE32-E72D297353CC}">
                    <c16:uniqueId val="{0000000B-32B5-4A12-AC98-17F635797978}"/>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'Begunstigden_soc. imp. enquête'!$BT$18</c15:sqref>
                        </c15:formulaRef>
                      </c:ext>
                    </c:extLst>
                    <c:strCache>
                      <c:ptCount val="1"/>
                      <c:pt idx="0">
                        <c:v>Aide au logement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enquête'!$B$18:$BI$18</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C-32B5-4A12-AC98-17F635797978}"/>
                  </c:ext>
                </c:extLst>
              </c15:ser>
            </c15:filteredLineSeries>
            <c15:filteredLineSeries>
              <c15:ser>
                <c:idx val="15"/>
                <c:order val="11"/>
                <c:tx>
                  <c:strRef>
                    <c:extLst xmlns:c15="http://schemas.microsoft.com/office/drawing/2012/chart">
                      <c:ext xmlns:c15="http://schemas.microsoft.com/office/drawing/2012/chart" uri="{02D57815-91ED-43cb-92C2-25804820EDAC}">
                        <c15:formulaRef>
                          <c15:sqref>'Begunstigden_soc. imp. enquête'!$BT$19</c15:sqref>
                        </c15:formulaRef>
                      </c:ext>
                    </c:extLst>
                    <c:strCache>
                      <c:ptCount val="1"/>
                      <c:pt idx="0">
                        <c:v>Aide au logement - chiffres provisoires</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ln>
                    <a:effectLst/>
                  </c:spPr>
                </c:marker>
                <c:val>
                  <c:numRef>
                    <c:extLst xmlns:c15="http://schemas.microsoft.com/office/drawing/2012/chart">
                      <c:ext xmlns:c15="http://schemas.microsoft.com/office/drawing/2012/chart" uri="{02D57815-91ED-43cb-92C2-25804820EDAC}">
                        <c15:formulaRef>
                          <c15:sqref>'Begunstigden_soc. imp. enquête'!$B$19:$BI$19</c15:sqref>
                        </c15:formulaRef>
                      </c:ext>
                    </c:extLst>
                    <c:numCache>
                      <c:formatCode>General</c:formatCode>
                      <c:ptCount val="60"/>
                      <c:pt idx="24" formatCode="0">
                        <c:v>11155.182270901631</c:v>
                      </c:pt>
                      <c:pt idx="25" formatCode="0">
                        <c:v>11236.287345771905</c:v>
                      </c:pt>
                      <c:pt idx="26" formatCode="0">
                        <c:v>10961.680509753105</c:v>
                      </c:pt>
                      <c:pt idx="27" formatCode="0">
                        <c:v>10001.138938783546</c:v>
                      </c:pt>
                      <c:pt idx="28" formatCode="0">
                        <c:v>10331.441255540562</c:v>
                      </c:pt>
                      <c:pt idx="29" formatCode="0">
                        <c:v>10397.220108844866</c:v>
                      </c:pt>
                      <c:pt idx="30" formatCode="0">
                        <c:v>9906.4753475318248</c:v>
                      </c:pt>
                      <c:pt idx="31" formatCode="0">
                        <c:v>10831.325879988677</c:v>
                      </c:pt>
                      <c:pt idx="32" formatCode="0">
                        <c:v>11796.031241017674</c:v>
                      </c:pt>
                      <c:pt idx="33" formatCode="0">
                        <c:v>11206.679435282162</c:v>
                      </c:pt>
                      <c:pt idx="34" formatCode="0">
                        <c:v>11143.769162919178</c:v>
                      </c:pt>
                      <c:pt idx="35" formatCode="0">
                        <c:v>9713.7378919547464</c:v>
                      </c:pt>
                      <c:pt idx="36" formatCode="0">
                        <c:v>10714.420245432331</c:v>
                      </c:pt>
                      <c:pt idx="37" formatCode="0">
                        <c:v>10564.20778586083</c:v>
                      </c:pt>
                      <c:pt idx="38" formatCode="0">
                        <c:v>11120.033169385748</c:v>
                      </c:pt>
                      <c:pt idx="39" formatCode="0">
                        <c:v>11199.709123929737</c:v>
                      </c:pt>
                      <c:pt idx="40" formatCode="0">
                        <c:v>10532.274551453214</c:v>
                      </c:pt>
                      <c:pt idx="41" formatCode="0">
                        <c:v>10526.719875381945</c:v>
                      </c:pt>
                      <c:pt idx="42" formatCode="0">
                        <c:v>9496.6760318055512</c:v>
                      </c:pt>
                      <c:pt idx="43" formatCode="0">
                        <c:v>9227.3889836844664</c:v>
                      </c:pt>
                      <c:pt idx="44" formatCode="0">
                        <c:v>8783.0733765220612</c:v>
                      </c:pt>
                      <c:pt idx="45" formatCode="0">
                        <c:v>9504.9108128596945</c:v>
                      </c:pt>
                      <c:pt idx="46" formatCode="0">
                        <c:v>9327.357677186219</c:v>
                      </c:pt>
                      <c:pt idx="47" formatCode="0">
                        <c:v>10543.029665402613</c:v>
                      </c:pt>
                      <c:pt idx="48" formatCode="0">
                        <c:v>8213.9365562136281</c:v>
                      </c:pt>
                      <c:pt idx="49" formatCode="0">
                        <c:v>8875.3547429202063</c:v>
                      </c:pt>
                      <c:pt idx="50" formatCode="0">
                        <c:v>9036.2406393828533</c:v>
                      </c:pt>
                      <c:pt idx="51" formatCode="0">
                        <c:v>12911.047914417039</c:v>
                      </c:pt>
                      <c:pt idx="52" formatCode="0">
                        <c:v>8428.2475854168588</c:v>
                      </c:pt>
                      <c:pt idx="53" formatCode="0">
                        <c:v>9171.206039582481</c:v>
                      </c:pt>
                      <c:pt idx="54" formatCode="0">
                        <c:v>7949.3186887700176</c:v>
                      </c:pt>
                      <c:pt idx="55" formatCode="0">
                        <c:v>7853.1811618993697</c:v>
                      </c:pt>
                      <c:pt idx="56" formatCode="0">
                        <c:v>8357.6018075605025</c:v>
                      </c:pt>
                      <c:pt idx="57" formatCode="0">
                        <c:v>8563.3960609605529</c:v>
                      </c:pt>
                      <c:pt idx="58" formatCode="0">
                        <c:v>7470.7219730409797</c:v>
                      </c:pt>
                      <c:pt idx="59" formatCode="0">
                        <c:v>7826.101016844299</c:v>
                      </c:pt>
                    </c:numCache>
                  </c:numRef>
                </c:val>
                <c:smooth val="0"/>
                <c:extLst xmlns:c15="http://schemas.microsoft.com/office/drawing/2012/chart">
                  <c:ext xmlns:c16="http://schemas.microsoft.com/office/drawing/2014/chart" uri="{C3380CC4-5D6E-409C-BE32-E72D297353CC}">
                    <c16:uniqueId val="{0000000D-32B5-4A12-AC98-17F635797978}"/>
                  </c:ext>
                </c:extLst>
              </c15:ser>
            </c15:filteredLineSeries>
          </c:ext>
        </c:extLst>
      </c:lineChart>
      <c:dateAx>
        <c:axId val="449351600"/>
        <c:scaling>
          <c:orientation val="minMax"/>
          <c:max val="45627"/>
        </c:scaling>
        <c:delete val="0"/>
        <c:axPos val="b"/>
        <c:numFmt formatCode="[$-413]mmm/yy;@" sourceLinked="0"/>
        <c:majorTickMark val="out"/>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49936"/>
        <c:crosses val="autoZero"/>
        <c:auto val="1"/>
        <c:lblOffset val="100"/>
        <c:baseTimeUnit val="months"/>
      </c:dateAx>
      <c:valAx>
        <c:axId val="449349936"/>
        <c:scaling>
          <c:orientation val="minMax"/>
        </c:scaling>
        <c:delete val="0"/>
        <c:axPos val="l"/>
        <c:majorGridlines>
          <c:spPr>
            <a:ln w="6350" cap="flat" cmpd="sng" algn="ctr">
              <a:solidFill>
                <a:schemeClr val="accent3">
                  <a:lumMod val="20000"/>
                  <a:lumOff val="80000"/>
                  <a:alpha val="99000"/>
                </a:schemeClr>
              </a:solidFill>
              <a:round/>
            </a:ln>
            <a:effectLst/>
          </c:spPr>
        </c:majorGridlines>
        <c:numFmt formatCode="#,##0" sourceLinked="0"/>
        <c:majorTickMark val="none"/>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449351600"/>
        <c:crosses val="autoZero"/>
        <c:crossBetween val="between"/>
      </c:valAx>
      <c:spPr>
        <a:solidFill>
          <a:schemeClr val="bg1"/>
        </a:solidFill>
        <a:ln>
          <a:solidFill>
            <a:schemeClr val="bg1"/>
          </a:solidFill>
        </a:ln>
        <a:effectLst/>
      </c:spPr>
    </c:plotArea>
    <c:legend>
      <c:legendPos val="b"/>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https://memopoint.yourict.be/dep</xsnScope>
</customXsn>
</file>

<file path=customXml/item5.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2.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3.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4.xml><?xml version="1.0" encoding="utf-8"?>
<ds:datastoreItem xmlns:ds="http://schemas.openxmlformats.org/officeDocument/2006/customXml" ds:itemID="{88D98776-A160-46C1-8542-B83C154A07A9}">
  <ds:schemaRefs>
    <ds:schemaRef ds:uri="http://schemas.microsoft.com/office/2006/metadata/customXsn"/>
  </ds:schemaRefs>
</ds:datastoreItem>
</file>

<file path=customXml/itemProps5.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C0F58F-8C67-4F4D-9464-0F1717B18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635</Words>
  <Characters>3494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POD Maatschappelijke Integratie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10</cp:revision>
  <dcterms:created xsi:type="dcterms:W3CDTF">2025-05-28T12:11:00Z</dcterms:created>
  <dcterms:modified xsi:type="dcterms:W3CDTF">2025-06-13T07:39:00Z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