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2B934629" w:rsidR="006A3DA1" w:rsidRPr="00A92501" w:rsidRDefault="001145CB" w:rsidP="006A3DA1">
      <w:pPr>
        <w:jc w:val="center"/>
        <w:rPr>
          <w:b/>
          <w:bCs/>
          <w:sz w:val="36"/>
          <w:szCs w:val="36"/>
          <w:u w:val="single"/>
        </w:rPr>
      </w:pPr>
      <w:bookmarkStart w:id="0" w:name="_Hlk198891794"/>
      <w:r w:rsidRPr="00A92501">
        <w:rPr>
          <w:b/>
          <w:bCs/>
          <w:sz w:val="36"/>
          <w:szCs w:val="36"/>
          <w:u w:val="single"/>
        </w:rPr>
        <w:t>Voorbereidende fiche voor het Federaal Plan Armoedebestrijding</w:t>
      </w:r>
      <w:r w:rsidR="00675650" w:rsidRPr="00A92501">
        <w:rPr>
          <w:b/>
          <w:bCs/>
          <w:sz w:val="36"/>
          <w:szCs w:val="36"/>
          <w:u w:val="single"/>
        </w:rPr>
        <w:t> : th</w:t>
      </w:r>
      <w:r w:rsidRPr="00A92501">
        <w:rPr>
          <w:b/>
          <w:bCs/>
          <w:sz w:val="36"/>
          <w:szCs w:val="36"/>
          <w:u w:val="single"/>
        </w:rPr>
        <w:t>e</w:t>
      </w:r>
      <w:r w:rsidR="00675650" w:rsidRPr="00A92501">
        <w:rPr>
          <w:b/>
          <w:bCs/>
          <w:sz w:val="36"/>
          <w:szCs w:val="36"/>
          <w:u w:val="single"/>
        </w:rPr>
        <w:t xml:space="preserve">ma </w:t>
      </w:r>
      <w:bookmarkEnd w:id="0"/>
      <w:r w:rsidR="00675650" w:rsidRPr="00A92501">
        <w:rPr>
          <w:b/>
          <w:bCs/>
          <w:sz w:val="36"/>
          <w:szCs w:val="36"/>
          <w:u w:val="single"/>
        </w:rPr>
        <w:t>« </w:t>
      </w:r>
      <w:r w:rsidRPr="00A92501">
        <w:rPr>
          <w:b/>
          <w:bCs/>
          <w:sz w:val="36"/>
          <w:szCs w:val="36"/>
          <w:u w:val="single"/>
        </w:rPr>
        <w:t>maatschappelijke integratie en werk</w:t>
      </w:r>
      <w:r w:rsidR="00675650" w:rsidRPr="00A92501">
        <w:rPr>
          <w:b/>
          <w:bCs/>
          <w:sz w:val="36"/>
          <w:szCs w:val="36"/>
          <w:u w:val="single"/>
        </w:rPr>
        <w:t> »</w:t>
      </w:r>
    </w:p>
    <w:p w14:paraId="50969141" w14:textId="77777777" w:rsidR="00042974" w:rsidRDefault="00042974" w:rsidP="00042974">
      <w:pPr>
        <w:tabs>
          <w:tab w:val="left" w:pos="1260"/>
        </w:tabs>
        <w:jc w:val="both"/>
      </w:pPr>
      <w:bookmarkStart w:id="1" w:name="_Hlk200117450"/>
      <w:r w:rsidRPr="00CB576F">
        <w:t>Overeenkomstig de wet van 9 oktober 2023 moet er binnen twaalf maanden na de installatie van de Ministerraad een federaal plan ter bestrijding van armoede worden aangenomen, met als uiterste datum 2 februari 2026.</w:t>
      </w:r>
    </w:p>
    <w:p w14:paraId="3B4F5BC1" w14:textId="77777777" w:rsidR="00042974" w:rsidRPr="00CB576F" w:rsidRDefault="00042974" w:rsidP="00042974">
      <w:pPr>
        <w:tabs>
          <w:tab w:val="left" w:pos="1260"/>
        </w:tabs>
      </w:pPr>
      <w:r w:rsidRPr="00CB576F">
        <w:t>In dit kader heeft het kabinet van minister Vandenbroucke, bevoegd voor armoedebestrijding, enkele belangrijke krachtlijnen vastgelegd:</w:t>
      </w:r>
    </w:p>
    <w:p w14:paraId="6E7FDF97" w14:textId="77777777" w:rsidR="00042974" w:rsidRPr="00CB576F" w:rsidRDefault="00042974" w:rsidP="00042974">
      <w:pPr>
        <w:tabs>
          <w:tab w:val="left" w:pos="1260"/>
        </w:tabs>
        <w:spacing w:after="0"/>
        <w:jc w:val="both"/>
      </w:pPr>
      <w:r w:rsidRPr="00CB576F">
        <w:t xml:space="preserve">1.           De integratie van eenieder in een inclusieve samenleving: </w:t>
      </w:r>
    </w:p>
    <w:p w14:paraId="3AB193F3" w14:textId="77777777" w:rsidR="00042974" w:rsidRPr="00CB576F" w:rsidRDefault="00042974" w:rsidP="00042974">
      <w:pPr>
        <w:tabs>
          <w:tab w:val="left" w:pos="1260"/>
        </w:tabs>
        <w:spacing w:after="0"/>
        <w:ind w:left="708"/>
        <w:jc w:val="both"/>
      </w:pPr>
      <w:r w:rsidRPr="00CB576F">
        <w:t>a.</w:t>
      </w:r>
      <w:r>
        <w:t xml:space="preserve"> </w:t>
      </w:r>
      <w:r w:rsidRPr="00CB576F">
        <w:t>Een job als dam tegen armoede</w:t>
      </w:r>
    </w:p>
    <w:p w14:paraId="4985A0ED" w14:textId="77777777" w:rsidR="00042974" w:rsidRPr="00CB576F" w:rsidRDefault="00042974" w:rsidP="00042974">
      <w:pPr>
        <w:tabs>
          <w:tab w:val="left" w:pos="1260"/>
        </w:tabs>
        <w:spacing w:after="0"/>
        <w:ind w:left="708"/>
        <w:jc w:val="both"/>
      </w:pPr>
      <w:r w:rsidRPr="00CB576F">
        <w:t>b. Een sterke sociale zekerheid als dam tegen armoede</w:t>
      </w:r>
    </w:p>
    <w:p w14:paraId="267B8129" w14:textId="77777777" w:rsidR="00042974" w:rsidRPr="00CB576F" w:rsidRDefault="00042974" w:rsidP="00042974">
      <w:pPr>
        <w:tabs>
          <w:tab w:val="left" w:pos="1260"/>
        </w:tabs>
        <w:spacing w:after="0"/>
        <w:ind w:left="708"/>
        <w:jc w:val="both"/>
      </w:pPr>
      <w:r w:rsidRPr="00CB576F">
        <w:t>c. Toegankelijkheid van diensten en de strijd tegen non-take up</w:t>
      </w:r>
    </w:p>
    <w:p w14:paraId="6B16CC4C" w14:textId="77777777" w:rsidR="00042974" w:rsidRPr="00CB576F" w:rsidRDefault="00042974" w:rsidP="00042974">
      <w:pPr>
        <w:tabs>
          <w:tab w:val="left" w:pos="1260"/>
        </w:tabs>
        <w:spacing w:after="0"/>
        <w:jc w:val="both"/>
      </w:pPr>
      <w:r w:rsidRPr="00CB576F">
        <w:t>2.           Armoede en gezondheid</w:t>
      </w:r>
    </w:p>
    <w:p w14:paraId="64A8679C" w14:textId="77777777" w:rsidR="00042974" w:rsidRPr="00CB576F" w:rsidRDefault="00042974" w:rsidP="00042974">
      <w:pPr>
        <w:tabs>
          <w:tab w:val="left" w:pos="1260"/>
        </w:tabs>
        <w:spacing w:after="0"/>
        <w:jc w:val="both"/>
      </w:pPr>
      <w:r w:rsidRPr="00CB576F">
        <w:t>3.           De strijd tegen overmatige schuldenlast</w:t>
      </w:r>
    </w:p>
    <w:p w14:paraId="2B9BAA02" w14:textId="77777777" w:rsidR="00042974" w:rsidRDefault="00042974" w:rsidP="00042974">
      <w:pPr>
        <w:tabs>
          <w:tab w:val="left" w:pos="1260"/>
        </w:tabs>
        <w:spacing w:after="0"/>
        <w:jc w:val="both"/>
      </w:pPr>
      <w:r w:rsidRPr="00CB576F">
        <w:t>4.           Bescherming van de koopkracht van personen in armoede</w:t>
      </w:r>
    </w:p>
    <w:p w14:paraId="0DD5DC81" w14:textId="72479B37" w:rsidR="00042974" w:rsidRDefault="00042974" w:rsidP="00042974">
      <w:pPr>
        <w:tabs>
          <w:tab w:val="left" w:pos="1260"/>
        </w:tabs>
        <w:spacing w:before="240"/>
        <w:jc w:val="both"/>
      </w:pPr>
      <w:r w:rsidRPr="00CB576F">
        <w:t xml:space="preserve">De thematische werkgroep over </w:t>
      </w:r>
      <w:r>
        <w:t xml:space="preserve">“maatschappelijke integratie en werk” </w:t>
      </w:r>
      <w:r w:rsidRPr="00CB576F">
        <w:t xml:space="preserve">zal plaatsvinden op </w:t>
      </w:r>
      <w:r w:rsidR="000B3CB0" w:rsidRPr="000B3CB0">
        <w:rPr>
          <w:b/>
          <w:bCs/>
        </w:rPr>
        <w:t>woensdag 25 juni 2025 om 9.30-12.00</w:t>
      </w:r>
      <w:r w:rsidRPr="00CB576F">
        <w:t>. Om deze vergadering zo goed mogelijk voor te bereiden, nodigen wij u uit om deze fiche en de lijst van maatregelen, opgesteld door het kabinet op basis van het regeerakkoord, door te nemen.</w:t>
      </w:r>
    </w:p>
    <w:p w14:paraId="6079092B" w14:textId="77777777" w:rsidR="00042974" w:rsidRPr="00CB576F" w:rsidRDefault="00042974" w:rsidP="00042974">
      <w:pPr>
        <w:tabs>
          <w:tab w:val="left" w:pos="1260"/>
        </w:tabs>
        <w:jc w:val="both"/>
      </w:pPr>
      <w:r w:rsidRPr="00CB576F">
        <w:t>Uw aanbevelingen met betrekking tot deze maatregelen zullen worden opgenomen in een nota die aan het kabinet zal worden overgemaakt.</w:t>
      </w:r>
    </w:p>
    <w:p w14:paraId="1E619B54" w14:textId="77777777" w:rsidR="00042974" w:rsidRPr="00CB576F" w:rsidRDefault="00042974" w:rsidP="00042974">
      <w:pPr>
        <w:tabs>
          <w:tab w:val="left" w:pos="1260"/>
        </w:tabs>
        <w:jc w:val="both"/>
      </w:pPr>
      <w:r w:rsidRPr="00CB576F">
        <w:t>Tijdens onze besprekingen vragen wij u rekening te houden met de wens van de minister om uitsluitend nieuwe maatregelen op te nemen in het federaal plan ter bestrijding van armoede, en om het aantal maatregelen te beperken met het oog op efficiëntie.</w:t>
      </w:r>
    </w:p>
    <w:p w14:paraId="21909DCA" w14:textId="77777777" w:rsidR="00042974" w:rsidRPr="00CB576F" w:rsidRDefault="00042974" w:rsidP="00042974">
      <w:pPr>
        <w:tabs>
          <w:tab w:val="left" w:pos="1260"/>
        </w:tabs>
        <w:jc w:val="both"/>
      </w:pPr>
      <w:r w:rsidRPr="00CB576F">
        <w:t>Alvast bedankt voor uw medewerking!</w:t>
      </w:r>
    </w:p>
    <w:bookmarkEnd w:id="1"/>
    <w:p w14:paraId="02F5EF2E" w14:textId="77777777" w:rsidR="00042974" w:rsidRDefault="00042974">
      <w:r>
        <w:br w:type="page"/>
      </w:r>
    </w:p>
    <w:p w14:paraId="49C17583" w14:textId="10AC0A45" w:rsidR="006A3DA1" w:rsidRPr="00042974" w:rsidRDefault="006A3DA1" w:rsidP="00042974">
      <w:pPr>
        <w:pStyle w:val="ListParagraph"/>
        <w:numPr>
          <w:ilvl w:val="0"/>
          <w:numId w:val="15"/>
        </w:numPr>
        <w:rPr>
          <w:b/>
          <w:bCs/>
          <w:u w:val="single"/>
        </w:rPr>
      </w:pPr>
      <w:r w:rsidRPr="00042974">
        <w:rPr>
          <w:b/>
          <w:bCs/>
          <w:u w:val="single"/>
        </w:rPr>
        <w:lastRenderedPageBreak/>
        <w:t>Conte</w:t>
      </w:r>
      <w:r w:rsidR="009826BE" w:rsidRPr="00042974">
        <w:rPr>
          <w:b/>
          <w:bCs/>
          <w:u w:val="single"/>
        </w:rPr>
        <w:t>xt</w:t>
      </w:r>
    </w:p>
    <w:p w14:paraId="0061F384" w14:textId="5D93F618" w:rsidR="00A92501" w:rsidRDefault="00A92501" w:rsidP="00A92501">
      <w:pPr>
        <w:jc w:val="both"/>
      </w:pPr>
      <w:bookmarkStart w:id="2" w:name="_Hlk198892069"/>
      <w:r w:rsidRPr="00A92501">
        <w:t xml:space="preserve">In 2024 werd 18,2% van de Belgische bevolking blootgesteld aan </w:t>
      </w:r>
      <w:r w:rsidRPr="004C2C4C">
        <w:rPr>
          <w:b/>
          <w:bCs/>
        </w:rPr>
        <w:t>het risico op armoede of sociale uitsluiting (AROPE)</w:t>
      </w:r>
      <w:r w:rsidRPr="00A92501">
        <w:t xml:space="preserve">, wat overeenkomt met iets meer dan 2,1 miljoen mensen. Het </w:t>
      </w:r>
      <w:r w:rsidRPr="004C2C4C">
        <w:rPr>
          <w:b/>
          <w:bCs/>
        </w:rPr>
        <w:t>armoederisico</w:t>
      </w:r>
      <w:r w:rsidR="004C2C4C">
        <w:rPr>
          <w:rStyle w:val="FootnoteReference"/>
          <w:b/>
          <w:bCs/>
        </w:rPr>
        <w:footnoteReference w:id="1"/>
      </w:r>
      <w:r w:rsidRPr="004C2C4C">
        <w:rPr>
          <w:b/>
          <w:bCs/>
        </w:rPr>
        <w:t xml:space="preserve"> (AROP of monetaire armoede)</w:t>
      </w:r>
      <w:r w:rsidRPr="00A92501">
        <w:t xml:space="preserve"> bedroeg op zijn beurt 11,5% van de bevolking.</w:t>
      </w:r>
    </w:p>
    <w:p w14:paraId="05DD2A7B" w14:textId="3651EF9C" w:rsidR="00DE3832" w:rsidRDefault="00A92501" w:rsidP="00A92501">
      <w:pPr>
        <w:jc w:val="both"/>
      </w:pPr>
      <w:r w:rsidRPr="00A92501">
        <w:t>In België liepen in 2024 6,4% van de werkenden een risico op armoede of sociale uitsluiting (Bronnen: Statbel en de Armoedebarometer).</w:t>
      </w:r>
    </w:p>
    <w:tbl>
      <w:tblPr>
        <w:tblW w:w="4640" w:type="dxa"/>
        <w:jc w:val="center"/>
        <w:tblCellMar>
          <w:left w:w="70" w:type="dxa"/>
          <w:right w:w="70" w:type="dxa"/>
        </w:tblCellMar>
        <w:tblLook w:val="04A0" w:firstRow="1" w:lastRow="0" w:firstColumn="1" w:lastColumn="0" w:noHBand="0" w:noVBand="1"/>
      </w:tblPr>
      <w:tblGrid>
        <w:gridCol w:w="2202"/>
        <w:gridCol w:w="1340"/>
        <w:gridCol w:w="1098"/>
      </w:tblGrid>
      <w:tr w:rsidR="00A92501" w:rsidRPr="006A0E61" w14:paraId="349DB65A" w14:textId="77777777" w:rsidTr="00391777">
        <w:trPr>
          <w:trHeight w:val="300"/>
          <w:jc w:val="center"/>
        </w:trPr>
        <w:tc>
          <w:tcPr>
            <w:tcW w:w="4640" w:type="dxa"/>
            <w:gridSpan w:val="3"/>
            <w:tcBorders>
              <w:top w:val="single" w:sz="4" w:space="0" w:color="B0B7BB"/>
              <w:left w:val="single" w:sz="4" w:space="0" w:color="B0B7BB"/>
              <w:bottom w:val="single" w:sz="4" w:space="0" w:color="B0B7BB"/>
              <w:right w:val="single" w:sz="4" w:space="0" w:color="B0B7BB"/>
            </w:tcBorders>
            <w:shd w:val="clear" w:color="000000" w:fill="FFFFFF"/>
            <w:noWrap/>
            <w:vAlign w:val="center"/>
            <w:hideMark/>
          </w:tcPr>
          <w:p w14:paraId="772DD6FE" w14:textId="1A182A09" w:rsidR="00A92501" w:rsidRPr="006A0E61" w:rsidRDefault="00A92501" w:rsidP="00391777">
            <w:pPr>
              <w:spacing w:after="0" w:line="240" w:lineRule="auto"/>
              <w:jc w:val="center"/>
              <w:rPr>
                <w:rFonts w:ascii="Arial" w:eastAsia="Times New Roman" w:hAnsi="Arial" w:cs="Arial"/>
                <w:b/>
                <w:bCs/>
                <w:color w:val="000000"/>
                <w:sz w:val="20"/>
                <w:szCs w:val="20"/>
                <w:lang w:eastAsia="fr-BE"/>
              </w:rPr>
            </w:pPr>
            <w:r w:rsidRPr="00A92501">
              <w:rPr>
                <w:rFonts w:ascii="Arial" w:eastAsia="Times New Roman" w:hAnsi="Arial" w:cs="Arial"/>
                <w:b/>
                <w:bCs/>
                <w:color w:val="000000"/>
                <w:sz w:val="20"/>
                <w:szCs w:val="20"/>
                <w:lang w:eastAsia="fr-BE"/>
              </w:rPr>
              <w:t>Professionele status (zelfverklaard</w:t>
            </w:r>
            <w:r>
              <w:rPr>
                <w:rFonts w:ascii="Arial" w:eastAsia="Times New Roman" w:hAnsi="Arial" w:cs="Arial"/>
                <w:b/>
                <w:bCs/>
                <w:color w:val="000000"/>
                <w:sz w:val="20"/>
                <w:szCs w:val="20"/>
                <w:lang w:eastAsia="fr-BE"/>
              </w:rPr>
              <w:t>)</w:t>
            </w:r>
          </w:p>
        </w:tc>
      </w:tr>
      <w:tr w:rsidR="00A92501" w:rsidRPr="006A0E61" w14:paraId="3C7A61B0" w14:textId="77777777" w:rsidTr="00391777">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216959B6" w14:textId="77777777" w:rsidR="00A92501" w:rsidRPr="006A0E61" w:rsidRDefault="00A92501" w:rsidP="00391777">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 </w:t>
            </w:r>
          </w:p>
        </w:tc>
        <w:tc>
          <w:tcPr>
            <w:tcW w:w="1340" w:type="dxa"/>
            <w:tcBorders>
              <w:top w:val="nil"/>
              <w:left w:val="nil"/>
              <w:bottom w:val="single" w:sz="4" w:space="0" w:color="B0B7BB"/>
              <w:right w:val="nil"/>
            </w:tcBorders>
            <w:shd w:val="clear" w:color="000000" w:fill="FFFFFF"/>
            <w:noWrap/>
            <w:vAlign w:val="center"/>
            <w:hideMark/>
          </w:tcPr>
          <w:p w14:paraId="61A36BBD" w14:textId="77777777" w:rsidR="00A92501" w:rsidRPr="006A0E61" w:rsidRDefault="00A92501" w:rsidP="00391777">
            <w:pPr>
              <w:spacing w:after="0" w:line="240" w:lineRule="auto"/>
              <w:jc w:val="center"/>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AROPE</w:t>
            </w:r>
          </w:p>
        </w:tc>
        <w:tc>
          <w:tcPr>
            <w:tcW w:w="1098" w:type="dxa"/>
            <w:tcBorders>
              <w:top w:val="nil"/>
              <w:left w:val="single" w:sz="4" w:space="0" w:color="B0B7BB"/>
              <w:bottom w:val="single" w:sz="4" w:space="0" w:color="B0B7BB"/>
              <w:right w:val="nil"/>
            </w:tcBorders>
            <w:shd w:val="clear" w:color="000000" w:fill="FFFFFF"/>
            <w:noWrap/>
            <w:vAlign w:val="center"/>
            <w:hideMark/>
          </w:tcPr>
          <w:p w14:paraId="55691C95" w14:textId="77777777" w:rsidR="00A92501" w:rsidRPr="006A0E61" w:rsidRDefault="00A92501" w:rsidP="00391777">
            <w:pPr>
              <w:spacing w:after="0" w:line="240" w:lineRule="auto"/>
              <w:jc w:val="center"/>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AROP</w:t>
            </w:r>
          </w:p>
        </w:tc>
      </w:tr>
      <w:tr w:rsidR="00A92501" w:rsidRPr="006A0E61" w14:paraId="6021313F" w14:textId="77777777" w:rsidTr="00391777">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3E026372" w14:textId="31C97758" w:rsidR="00A92501" w:rsidRPr="006A0E61" w:rsidRDefault="00A92501" w:rsidP="00391777">
            <w:pPr>
              <w:spacing w:after="0" w:line="240" w:lineRule="auto"/>
              <w:rPr>
                <w:rFonts w:ascii="Arial" w:eastAsia="Times New Roman" w:hAnsi="Arial" w:cs="Arial"/>
                <w:b/>
                <w:bCs/>
                <w:color w:val="000000"/>
                <w:sz w:val="20"/>
                <w:szCs w:val="20"/>
                <w:lang w:eastAsia="fr-BE"/>
              </w:rPr>
            </w:pPr>
            <w:r>
              <w:rPr>
                <w:rFonts w:ascii="Arial" w:eastAsia="Times New Roman" w:hAnsi="Arial" w:cs="Arial"/>
                <w:b/>
                <w:bCs/>
                <w:color w:val="000000"/>
                <w:sz w:val="20"/>
                <w:szCs w:val="20"/>
                <w:lang w:eastAsia="fr-BE"/>
              </w:rPr>
              <w:t>Werknemer</w:t>
            </w:r>
          </w:p>
        </w:tc>
        <w:tc>
          <w:tcPr>
            <w:tcW w:w="1340"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14:paraId="7CADE354"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6,4%</w:t>
            </w:r>
          </w:p>
        </w:tc>
        <w:tc>
          <w:tcPr>
            <w:tcW w:w="1098" w:type="dxa"/>
            <w:tcBorders>
              <w:top w:val="single" w:sz="4" w:space="0" w:color="C1C1C1"/>
              <w:left w:val="nil"/>
              <w:bottom w:val="single" w:sz="4" w:space="0" w:color="C1C1C1"/>
              <w:right w:val="single" w:sz="4" w:space="0" w:color="C1C1C1"/>
            </w:tcBorders>
            <w:shd w:val="clear" w:color="000000" w:fill="FFFFFF"/>
            <w:noWrap/>
            <w:vAlign w:val="bottom"/>
            <w:hideMark/>
          </w:tcPr>
          <w:p w14:paraId="35F70254"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4,3%</w:t>
            </w:r>
          </w:p>
        </w:tc>
      </w:tr>
      <w:tr w:rsidR="00A92501" w:rsidRPr="006A0E61" w14:paraId="5622C5CF" w14:textId="77777777" w:rsidTr="00391777">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746B2AD4" w14:textId="01F4662E" w:rsidR="00A92501" w:rsidRPr="006A0E61" w:rsidRDefault="00A92501" w:rsidP="00391777">
            <w:pPr>
              <w:spacing w:after="0" w:line="240" w:lineRule="auto"/>
              <w:rPr>
                <w:rFonts w:ascii="Arial" w:eastAsia="Times New Roman" w:hAnsi="Arial" w:cs="Arial"/>
                <w:b/>
                <w:bCs/>
                <w:color w:val="000000"/>
                <w:sz w:val="20"/>
                <w:szCs w:val="20"/>
                <w:lang w:eastAsia="fr-BE"/>
              </w:rPr>
            </w:pPr>
            <w:r>
              <w:rPr>
                <w:rFonts w:ascii="Arial" w:eastAsia="Times New Roman" w:hAnsi="Arial" w:cs="Arial"/>
                <w:b/>
                <w:bCs/>
                <w:color w:val="000000"/>
                <w:sz w:val="20"/>
                <w:szCs w:val="20"/>
                <w:lang w:eastAsia="fr-BE"/>
              </w:rPr>
              <w:t>Zelfstandige</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4E570B43"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9,8%</w:t>
            </w:r>
          </w:p>
        </w:tc>
        <w:tc>
          <w:tcPr>
            <w:tcW w:w="1098" w:type="dxa"/>
            <w:tcBorders>
              <w:top w:val="nil"/>
              <w:left w:val="nil"/>
              <w:bottom w:val="single" w:sz="4" w:space="0" w:color="C1C1C1"/>
              <w:right w:val="single" w:sz="4" w:space="0" w:color="C1C1C1"/>
            </w:tcBorders>
            <w:shd w:val="clear" w:color="000000" w:fill="FFFFFF"/>
            <w:noWrap/>
            <w:vAlign w:val="bottom"/>
            <w:hideMark/>
          </w:tcPr>
          <w:p w14:paraId="7C57FA1B"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9,1%</w:t>
            </w:r>
          </w:p>
        </w:tc>
      </w:tr>
      <w:tr w:rsidR="00A92501" w:rsidRPr="006A0E61" w14:paraId="270F07F7" w14:textId="77777777" w:rsidTr="00391777">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0F0B748A" w14:textId="2431DD28" w:rsidR="00A92501" w:rsidRPr="006A0E61" w:rsidRDefault="00A92501" w:rsidP="00391777">
            <w:pPr>
              <w:spacing w:after="0" w:line="240" w:lineRule="auto"/>
              <w:rPr>
                <w:rFonts w:ascii="Arial" w:eastAsia="Times New Roman" w:hAnsi="Arial" w:cs="Arial"/>
                <w:b/>
                <w:bCs/>
                <w:color w:val="000000"/>
                <w:sz w:val="20"/>
                <w:szCs w:val="20"/>
                <w:lang w:eastAsia="fr-BE"/>
              </w:rPr>
            </w:pPr>
            <w:r>
              <w:rPr>
                <w:rFonts w:ascii="Arial" w:eastAsia="Times New Roman" w:hAnsi="Arial" w:cs="Arial"/>
                <w:b/>
                <w:bCs/>
                <w:color w:val="000000"/>
                <w:sz w:val="20"/>
                <w:szCs w:val="20"/>
                <w:lang w:eastAsia="fr-BE"/>
              </w:rPr>
              <w:t>Loonarbeider</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4582798C"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5,7%</w:t>
            </w:r>
          </w:p>
        </w:tc>
        <w:tc>
          <w:tcPr>
            <w:tcW w:w="1098" w:type="dxa"/>
            <w:tcBorders>
              <w:top w:val="nil"/>
              <w:left w:val="nil"/>
              <w:bottom w:val="single" w:sz="4" w:space="0" w:color="C1C1C1"/>
              <w:right w:val="single" w:sz="4" w:space="0" w:color="C1C1C1"/>
            </w:tcBorders>
            <w:shd w:val="clear" w:color="000000" w:fill="FFFFFF"/>
            <w:noWrap/>
            <w:vAlign w:val="bottom"/>
            <w:hideMark/>
          </w:tcPr>
          <w:p w14:paraId="397DB82A"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3,3%</w:t>
            </w:r>
          </w:p>
        </w:tc>
      </w:tr>
      <w:tr w:rsidR="00A92501" w:rsidRPr="006A0E61" w14:paraId="541FFB9D" w14:textId="77777777" w:rsidTr="00391777">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06B14701" w14:textId="36C2694D" w:rsidR="00A92501" w:rsidRPr="006A0E61" w:rsidRDefault="00A92501" w:rsidP="00391777">
            <w:pPr>
              <w:spacing w:after="0" w:line="240" w:lineRule="auto"/>
              <w:rPr>
                <w:rFonts w:ascii="Arial" w:eastAsia="Times New Roman" w:hAnsi="Arial" w:cs="Arial"/>
                <w:b/>
                <w:bCs/>
                <w:color w:val="000000"/>
                <w:sz w:val="20"/>
                <w:szCs w:val="20"/>
                <w:lang w:eastAsia="fr-BE"/>
              </w:rPr>
            </w:pPr>
            <w:r>
              <w:rPr>
                <w:rFonts w:ascii="Arial" w:eastAsia="Times New Roman" w:hAnsi="Arial" w:cs="Arial"/>
                <w:b/>
                <w:bCs/>
                <w:color w:val="000000"/>
                <w:sz w:val="20"/>
                <w:szCs w:val="20"/>
                <w:lang w:eastAsia="fr-BE"/>
              </w:rPr>
              <w:t>Werkloze</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59FDB4A6"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69,0%</w:t>
            </w:r>
          </w:p>
        </w:tc>
        <w:tc>
          <w:tcPr>
            <w:tcW w:w="1098" w:type="dxa"/>
            <w:tcBorders>
              <w:top w:val="nil"/>
              <w:left w:val="nil"/>
              <w:bottom w:val="single" w:sz="4" w:space="0" w:color="C1C1C1"/>
              <w:right w:val="single" w:sz="4" w:space="0" w:color="C1C1C1"/>
            </w:tcBorders>
            <w:shd w:val="clear" w:color="000000" w:fill="FFFFFF"/>
            <w:noWrap/>
            <w:vAlign w:val="bottom"/>
            <w:hideMark/>
          </w:tcPr>
          <w:p w14:paraId="7508227D" w14:textId="77777777" w:rsidR="00A92501" w:rsidRPr="006A0E61" w:rsidRDefault="00A92501" w:rsidP="00391777">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43,0%</w:t>
            </w:r>
          </w:p>
        </w:tc>
      </w:tr>
    </w:tbl>
    <w:p w14:paraId="311657AC" w14:textId="77777777" w:rsidR="00A92501" w:rsidRDefault="00A92501" w:rsidP="00A92501">
      <w:pPr>
        <w:jc w:val="both"/>
      </w:pPr>
    </w:p>
    <w:p w14:paraId="224CBD75" w14:textId="77777777" w:rsidR="00A92501" w:rsidRPr="00A92501" w:rsidRDefault="00A92501" w:rsidP="00A92501">
      <w:pPr>
        <w:jc w:val="both"/>
      </w:pPr>
      <w:r w:rsidRPr="00A92501">
        <w:t>11,3% van de mensen leefden in huishoudens met een zeer lage arbeidsintensiteit. Van deze groep liep meer dan de helft (50,9%) een armoederisico (Bronnen: Statbel en de Armoedebarometer).</w:t>
      </w:r>
    </w:p>
    <w:p w14:paraId="750CF802" w14:textId="14B46A97" w:rsidR="00A92501" w:rsidRPr="00A92501" w:rsidRDefault="00A92501" w:rsidP="00A92501">
      <w:pPr>
        <w:jc w:val="both"/>
      </w:pPr>
      <w:r w:rsidRPr="00A92501">
        <w:t>Van de 207.246 leefloongerechtigden (exclusief studenten</w:t>
      </w:r>
      <w:r w:rsidR="004C2C4C">
        <w:rPr>
          <w:rStyle w:val="FootnoteReference"/>
        </w:rPr>
        <w:footnoteReference w:id="2"/>
      </w:r>
      <w:r w:rsidRPr="00A92501">
        <w:t>) in 2024 had 19,4% een beroepsinkomen, 3,7% ontving een werkloosheidsuitkering en 1,9% combineerde beide (Bron: POD MI).</w:t>
      </w:r>
    </w:p>
    <w:p w14:paraId="0D936203" w14:textId="77777777" w:rsidR="00A92501" w:rsidRPr="00A92501" w:rsidRDefault="00A92501" w:rsidP="00A92501">
      <w:pPr>
        <w:jc w:val="both"/>
      </w:pPr>
      <w:r w:rsidRPr="00A92501">
        <w:t>De verhouding tussen het aantal mensen dat via een activeringstraject aan werk werd geholpen en het totale aantal leefloon- of equivalent leefloongerechtigden bedroeg 1 op 12 in 2024 (Bron: POD MI).</w:t>
      </w:r>
    </w:p>
    <w:p w14:paraId="1DA83482" w14:textId="77777777" w:rsidR="004C2C4C" w:rsidRDefault="00A92501" w:rsidP="00A92501">
      <w:pPr>
        <w:jc w:val="both"/>
      </w:pPr>
      <w:r w:rsidRPr="00A92501">
        <w:t xml:space="preserve">Het aandeel jongeren die noch werken, noch studeren, noch een opleiding volgen (NEET-jongeren), daalde aanzienlijk van 17,2% in 2000 tot 12% in 2008 (jaar van de financiële en economische crisis), om vervolgens te stijgen tot 14,9% in 2013. Sindsdien zet de dalende trend zich voort, tot 9,6% in 2023. Over de hele periode 2000-2023 is de trend overwegend dalend, met een gemiddelde jaarlijkse daling van 2,5%. Als deze evolutie aanhoudt, zou het duurzameontwikkelingsdoel voor 2030 – namelijk het terugbrengen van dit cijfer tot 8,6% – haalbaar moeten zijn. </w:t>
      </w:r>
      <w:r w:rsidRPr="004C2C4C">
        <w:t>(Bron :</w:t>
      </w:r>
      <w:r w:rsidR="004C2C4C" w:rsidRPr="004C2C4C">
        <w:t xml:space="preserve"> </w:t>
      </w:r>
      <w:hyperlink r:id="rId13" w:history="1">
        <w:r w:rsidR="004C2C4C" w:rsidRPr="004C2C4C">
          <w:rPr>
            <w:rStyle w:val="Hyperlink"/>
          </w:rPr>
          <w:t>indicators.be – Jongeren die niet werken en noch onderwijs noch opleiding volgen (i44)</w:t>
        </w:r>
      </w:hyperlink>
      <w:r w:rsidR="004C2C4C">
        <w:t xml:space="preserve">). </w:t>
      </w:r>
    </w:p>
    <w:p w14:paraId="4B8BF50F" w14:textId="771938E2" w:rsidR="00A92501" w:rsidRPr="004C2C4C" w:rsidRDefault="004C2C4C" w:rsidP="00A92501">
      <w:pPr>
        <w:jc w:val="both"/>
      </w:pPr>
      <w:r>
        <w:rPr>
          <w:noProof/>
        </w:rPr>
        <w:drawing>
          <wp:inline distT="0" distB="0" distL="0" distR="0" wp14:anchorId="0669ED8F" wp14:editId="504774EC">
            <wp:extent cx="5762625" cy="2275205"/>
            <wp:effectExtent l="0" t="0" r="9525" b="0"/>
            <wp:docPr id="320443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275205"/>
                    </a:xfrm>
                    <a:prstGeom prst="rect">
                      <a:avLst/>
                    </a:prstGeom>
                    <a:noFill/>
                    <a:ln>
                      <a:noFill/>
                    </a:ln>
                  </pic:spPr>
                </pic:pic>
              </a:graphicData>
            </a:graphic>
          </wp:inline>
        </w:drawing>
      </w:r>
    </w:p>
    <w:p w14:paraId="7E97C567" w14:textId="77777777" w:rsidR="00A92501" w:rsidRPr="00A92501" w:rsidRDefault="00A92501" w:rsidP="00A92501">
      <w:pPr>
        <w:jc w:val="both"/>
      </w:pPr>
    </w:p>
    <w:p w14:paraId="308E86A0" w14:textId="06EE4344" w:rsidR="00E129A1" w:rsidRPr="00042974" w:rsidRDefault="00E129A1" w:rsidP="00042974">
      <w:pPr>
        <w:pStyle w:val="ListParagraph"/>
        <w:numPr>
          <w:ilvl w:val="0"/>
          <w:numId w:val="15"/>
        </w:numPr>
        <w:jc w:val="both"/>
        <w:rPr>
          <w:b/>
          <w:bCs/>
          <w:u w:val="single"/>
        </w:rPr>
      </w:pPr>
      <w:bookmarkStart w:id="3" w:name="_Hlk198891919"/>
      <w:bookmarkStart w:id="4" w:name="_Hlk198892102"/>
      <w:bookmarkEnd w:id="2"/>
      <w:r w:rsidRPr="00042974">
        <w:rPr>
          <w:b/>
          <w:bCs/>
          <w:u w:val="single"/>
        </w:rPr>
        <w:t>Maatregelen rond het thema "maatschappelijke integratie en tewerkstelling" op basis van het regeerakkoord</w:t>
      </w:r>
    </w:p>
    <w:bookmarkEnd w:id="3"/>
    <w:p w14:paraId="23FCB793" w14:textId="7260EA82" w:rsidR="004A2C83" w:rsidRPr="00A92501" w:rsidRDefault="00E129A1" w:rsidP="00DE3832">
      <w:pPr>
        <w:jc w:val="both"/>
        <w:rPr>
          <w:i/>
          <w:iCs/>
        </w:rPr>
      </w:pPr>
      <w:r>
        <w:rPr>
          <w:i/>
          <w:iCs/>
        </w:rPr>
        <w:t>Hieronder vindt u een eerste niet-limitatieve selectie van de maatregelen opgenomen in het regeerakkoord</w:t>
      </w:r>
      <w:r w:rsidR="00B375A1" w:rsidRPr="00A92501">
        <w:rPr>
          <w:i/>
          <w:iCs/>
        </w:rPr>
        <w:t>:</w:t>
      </w:r>
    </w:p>
    <w:p w14:paraId="30E09B79" w14:textId="1EC87D7C" w:rsidR="005A6F59" w:rsidRPr="00A92501" w:rsidRDefault="005A6F59" w:rsidP="005A6F59">
      <w:pPr>
        <w:pStyle w:val="ListParagraph"/>
        <w:numPr>
          <w:ilvl w:val="0"/>
          <w:numId w:val="13"/>
        </w:numPr>
        <w:jc w:val="both"/>
        <w:rPr>
          <w:rFonts w:cstheme="minorHAnsi"/>
          <w:i/>
          <w:iCs/>
        </w:rPr>
      </w:pPr>
      <w:r w:rsidRPr="00A92501">
        <w:rPr>
          <w:rFonts w:cstheme="minorHAnsi"/>
        </w:rPr>
        <w:t>De drempel naar een job verlagen door te voorzien in een eenvoudige en voorspelbare cumulregeling voor inkomsten uit arbeid</w:t>
      </w:r>
    </w:p>
    <w:p w14:paraId="33F41F0D" w14:textId="3757F20A"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De cumulregeling voor IT met uitkeringen na tewerkstelling verbeteren zodat een periode van tewerkstelling niet leidt tot verlies van IT</w:t>
      </w:r>
    </w:p>
    <w:p w14:paraId="70071BF1" w14:textId="611A2A93"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De verhoogde financiering van het leefloon vanuit de federale overheid is afhankelijk van het afsluiten van een GPMI en van de resultaten inzake de uitstroom van leefloongerechtigden naar duurzame tewerkstelling</w:t>
      </w:r>
    </w:p>
    <w:p w14:paraId="0D235061" w14:textId="594F747E"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Het toepassingsgebied van het GPMI wordt uitgebreid en veplicht tot alle begunstigen van een (equivalent) leefloon, behoudens voor zij die om billijkheids - of gezondheidsredenenen niet kunnen werken</w:t>
      </w:r>
    </w:p>
    <w:p w14:paraId="0416864D" w14:textId="190C7B89"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De impact van de uitbreiding en verplichting van het GPMI op de werking van de OCMW's wordt onderzocht</w:t>
      </w:r>
    </w:p>
    <w:p w14:paraId="0C103E5B" w14:textId="00605458"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De OCMW's worden extra ondersteunt, nodig voor de uitvoering van het GPMI</w:t>
      </w:r>
    </w:p>
    <w:p w14:paraId="62C8DBF9" w14:textId="79DAAF2B"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De middelentoets en berekeningsmethoden van de verschillende bijstandsuitkeringen harmoniseren en optimaliseren</w:t>
      </w:r>
    </w:p>
    <w:p w14:paraId="77104292" w14:textId="5FB1F06B"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Een centraal register bijhouden waarin alle sociale bijstand en voordelen worden in meegenomen zodat er  rekening mee wordt gehouden bij de berekening van het geheel aan sociale bijstand en voordelen</w:t>
      </w:r>
    </w:p>
    <w:p w14:paraId="01CCA84D" w14:textId="0AFC8FBD"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Het centraal register met alle sociale bijstand en voordelen is raadpleegbaar en wordt ingevuld en aangevuld door alle instanties die deze sociale bijstand en voordelen toekennen (voordelen  in het kader van de ziekteverzekering zijn vrijgesteld.)</w:t>
      </w:r>
    </w:p>
    <w:p w14:paraId="593D888C" w14:textId="35890EE9"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In samenspraak met de lokale besturen wordt er werk gemaakt van uniforme toekenningsregels voor aanvullende financiële steun die er, met respect voor de lokale autonomie, voor zorgt dat de behoeften van gezinnen in armoede meer op dezelfde manier worden ingeschat in alle OCMW’s</w:t>
      </w:r>
    </w:p>
    <w:p w14:paraId="64988F85" w14:textId="756416B7" w:rsidR="005A6F59" w:rsidRPr="00A92501" w:rsidRDefault="005A6F59" w:rsidP="005A6F59">
      <w:pPr>
        <w:pStyle w:val="ListParagraph"/>
        <w:numPr>
          <w:ilvl w:val="0"/>
          <w:numId w:val="13"/>
        </w:numPr>
        <w:jc w:val="both"/>
        <w:rPr>
          <w:rFonts w:cstheme="minorHAnsi"/>
          <w:i/>
          <w:iCs/>
        </w:rPr>
      </w:pPr>
      <w:r w:rsidRPr="005A6F59">
        <w:rPr>
          <w:rFonts w:eastAsia="Times New Roman" w:cstheme="minorHAnsi"/>
          <w:color w:val="000000"/>
          <w:lang w:eastAsia="nl-BE"/>
        </w:rPr>
        <w:t>Onderzoek naar welke criteria lokale besturen in rekening moeten nemen om bijkomende fina</w:t>
      </w:r>
      <w:r w:rsidR="00FD5D39" w:rsidRPr="00E129A1">
        <w:rPr>
          <w:rFonts w:eastAsia="Times New Roman" w:cstheme="minorHAnsi"/>
          <w:color w:val="000000"/>
          <w:lang w:eastAsia="nl-BE"/>
        </w:rPr>
        <w:t>n</w:t>
      </w:r>
      <w:r w:rsidRPr="005A6F59">
        <w:rPr>
          <w:rFonts w:eastAsia="Times New Roman" w:cstheme="minorHAnsi"/>
          <w:color w:val="000000"/>
          <w:lang w:eastAsia="nl-BE"/>
        </w:rPr>
        <w:t>ciële steun uit te keren</w:t>
      </w:r>
    </w:p>
    <w:p w14:paraId="421E8F25" w14:textId="660DD5FC" w:rsidR="005A6F59" w:rsidRPr="00A92501" w:rsidRDefault="00FD5D39" w:rsidP="005A6F59">
      <w:pPr>
        <w:pStyle w:val="ListParagraph"/>
        <w:numPr>
          <w:ilvl w:val="0"/>
          <w:numId w:val="13"/>
        </w:numPr>
        <w:jc w:val="both"/>
        <w:rPr>
          <w:rFonts w:cstheme="minorHAnsi"/>
          <w:i/>
          <w:iCs/>
        </w:rPr>
      </w:pPr>
      <w:r w:rsidRPr="005A6F59">
        <w:rPr>
          <w:rFonts w:eastAsia="Times New Roman" w:cstheme="minorHAnsi"/>
          <w:color w:val="000000"/>
          <w:lang w:eastAsia="nl-BE"/>
        </w:rPr>
        <w:t>De installatiepremie wordt beter afgestemd op de noden van (alleenstaande) ouders</w:t>
      </w:r>
      <w:r w:rsidR="00E129A1">
        <w:rPr>
          <w:rFonts w:eastAsia="Times New Roman" w:cstheme="minorHAnsi"/>
          <w:color w:val="000000"/>
          <w:lang w:eastAsia="nl-BE"/>
        </w:rPr>
        <w:t>.</w:t>
      </w:r>
    </w:p>
    <w:bookmarkEnd w:id="4"/>
    <w:p w14:paraId="2CFC3448" w14:textId="6935C263" w:rsidR="00233ADC" w:rsidRDefault="00233ADC" w:rsidP="00D438B7">
      <w:pPr>
        <w:pStyle w:val="ListParagraph"/>
        <w:rPr>
          <w:b/>
          <w:bCs/>
          <w:u w:val="single"/>
        </w:rPr>
      </w:pPr>
    </w:p>
    <w:p w14:paraId="64FB3660" w14:textId="77777777" w:rsidR="00042974" w:rsidRDefault="00042974" w:rsidP="00042974">
      <w:pPr>
        <w:rPr>
          <w:b/>
          <w:bCs/>
          <w:u w:val="single"/>
        </w:rPr>
      </w:pPr>
      <w:bookmarkStart w:id="5" w:name="_Hlk200117475"/>
    </w:p>
    <w:p w14:paraId="2E3EC3F6" w14:textId="0954AF93" w:rsidR="00042974" w:rsidRPr="00042974" w:rsidRDefault="00042974" w:rsidP="00042974">
      <w:pPr>
        <w:pStyle w:val="ListParagraph"/>
        <w:numPr>
          <w:ilvl w:val="0"/>
          <w:numId w:val="15"/>
        </w:numPr>
        <w:rPr>
          <w:b/>
          <w:bCs/>
          <w:u w:val="single"/>
        </w:rPr>
      </w:pPr>
      <w:r w:rsidRPr="00042974">
        <w:rPr>
          <w:b/>
          <w:bCs/>
          <w:u w:val="single"/>
        </w:rPr>
        <w:t>Aanbevelingen</w:t>
      </w:r>
    </w:p>
    <w:p w14:paraId="38F0733C" w14:textId="05B4AE61" w:rsidR="00042974" w:rsidRDefault="00042974" w:rsidP="00042974">
      <w:pPr>
        <w:rPr>
          <w:b/>
          <w:bCs/>
          <w:u w:val="single"/>
        </w:rPr>
      </w:pPr>
      <w:r w:rsidRPr="00CB576F">
        <w:rPr>
          <w:b/>
          <w:bCs/>
          <w:u w:val="single"/>
        </w:rPr>
        <w:t xml:space="preserve">Wat zijn uw aanbevelingen met betrekking tot de door </w:t>
      </w:r>
      <w:r w:rsidR="00664CD1">
        <w:rPr>
          <w:b/>
          <w:bCs/>
          <w:u w:val="single"/>
        </w:rPr>
        <w:t>de beleidscel</w:t>
      </w:r>
      <w:r w:rsidRPr="00CB576F">
        <w:rPr>
          <w:b/>
          <w:bCs/>
          <w:u w:val="single"/>
        </w:rPr>
        <w:t xml:space="preserve"> geselecteerde maatregelen?</w:t>
      </w:r>
      <w:r w:rsidRPr="00CB576F">
        <w:rPr>
          <w:b/>
          <w:bCs/>
          <w:u w:val="single"/>
        </w:rPr>
        <w:br/>
      </w:r>
    </w:p>
    <w:p w14:paraId="7B81877B" w14:textId="77777777" w:rsidR="00042974" w:rsidRPr="00CB576F" w:rsidRDefault="00042974" w:rsidP="00042974">
      <w:pPr>
        <w:rPr>
          <w:b/>
          <w:bCs/>
          <w:u w:val="single"/>
        </w:rPr>
      </w:pPr>
      <w:r w:rsidRPr="00CB576F">
        <w:rPr>
          <w:b/>
          <w:bCs/>
          <w:u w:val="single"/>
        </w:rPr>
        <w:t>Welke nieuwe actie(s) stelt u voor in verband met het thema?</w:t>
      </w:r>
    </w:p>
    <w:bookmarkEnd w:id="5"/>
    <w:p w14:paraId="4E01985B" w14:textId="77777777" w:rsidR="00042974" w:rsidRPr="00A92501" w:rsidRDefault="00042974" w:rsidP="00D438B7">
      <w:pPr>
        <w:pStyle w:val="ListParagraph"/>
        <w:rPr>
          <w:b/>
          <w:bCs/>
          <w:u w:val="single"/>
        </w:rPr>
      </w:pPr>
    </w:p>
    <w:sectPr w:rsidR="00042974" w:rsidRPr="00A92501" w:rsidSect="008C5014">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6" w:name="_Hlk33451114" w:displacedByCustomXml="next"/>
    </w:sdtContent>
  </w:sdt>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1054D86E" w14:textId="01E5EE9B" w:rsidR="004C2C4C" w:rsidRPr="004C2C4C" w:rsidRDefault="004C2C4C" w:rsidP="004C2C4C">
      <w:pPr>
        <w:pStyle w:val="FootnoteText"/>
        <w:jc w:val="both"/>
      </w:pPr>
      <w:r>
        <w:rPr>
          <w:rStyle w:val="FootnoteReference"/>
        </w:rPr>
        <w:footnoteRef/>
      </w:r>
      <w:r>
        <w:t xml:space="preserve"> </w:t>
      </w:r>
      <w:r w:rsidRPr="004C2C4C">
        <w:t>AROP: het armoederisico (of monetaire armoede) is het percentage personen met een equivalente beschikbare inkomens (na sociale overdrachten) dat lager ligt dan 60% van het nationale mediaaninkomen van huishoudens.</w:t>
      </w:r>
    </w:p>
  </w:footnote>
  <w:footnote w:id="2">
    <w:p w14:paraId="6869E41E" w14:textId="2FAAD422" w:rsidR="004C2C4C" w:rsidRPr="004C2C4C" w:rsidRDefault="004C2C4C">
      <w:pPr>
        <w:pStyle w:val="FootnoteText"/>
      </w:pPr>
      <w:r>
        <w:rPr>
          <w:rStyle w:val="FootnoteReference"/>
        </w:rPr>
        <w:footnoteRef/>
      </w:r>
      <w:r>
        <w:t xml:space="preserve"> </w:t>
      </w:r>
      <w:r w:rsidRPr="004C2C4C">
        <w:t>Studenten die hun GPMI (geïndividualiseerd project voor maatschappelijke integratie) in de loop van het jaar hebben afgerond, worden in dit aantal meegerekend.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3298A86A" w:rsidR="00B530E6" w:rsidRPr="003D7888" w:rsidRDefault="008D12FD">
          <w:pPr>
            <w:pStyle w:val="Header"/>
            <w:rPr>
              <w:b/>
              <w:bCs/>
              <w:color w:val="808080" w:themeColor="background1" w:themeShade="80"/>
              <w:sz w:val="44"/>
              <w:szCs w:val="44"/>
              <w:lang w:val="fr-BE"/>
            </w:rPr>
          </w:pPr>
          <w:r>
            <w:rPr>
              <w:b/>
              <w:bCs/>
              <w:color w:val="808080" w:themeColor="background1" w:themeShade="80"/>
              <w:sz w:val="44"/>
              <w:szCs w:val="44"/>
              <w:lang w:val="fr-BE"/>
            </w:rPr>
            <w:t>Thematische fiche</w:t>
          </w:r>
        </w:p>
      </w:tc>
    </w:tr>
    <w:tr w:rsidR="007E11F7" w:rsidRPr="004E42C9" w14:paraId="4AB4D1FC" w14:textId="77777777" w:rsidTr="00A17167">
      <w:tc>
        <w:tcPr>
          <w:tcW w:w="2545" w:type="dxa"/>
        </w:tcPr>
        <w:p w14:paraId="2DA55D24" w14:textId="77777777" w:rsidR="004C082D" w:rsidRPr="00A92501" w:rsidRDefault="004C082D" w:rsidP="00F14040">
          <w:pPr>
            <w:pStyle w:val="Header"/>
            <w:jc w:val="right"/>
            <w:rPr>
              <w:color w:val="808080" w:themeColor="background1" w:themeShade="80"/>
              <w:sz w:val="18"/>
              <w:szCs w:val="18"/>
            </w:rPr>
          </w:pPr>
        </w:p>
        <w:p w14:paraId="3BF2EDD8" w14:textId="5164FA05" w:rsidR="004C082D" w:rsidRPr="00A92501" w:rsidRDefault="00FA69F3" w:rsidP="00F14040">
          <w:pPr>
            <w:pStyle w:val="Header"/>
            <w:jc w:val="right"/>
            <w:rPr>
              <w:color w:val="808080" w:themeColor="background1" w:themeShade="80"/>
              <w:sz w:val="18"/>
              <w:szCs w:val="18"/>
            </w:rPr>
          </w:pPr>
          <w:r w:rsidRPr="00A92501">
            <w:rPr>
              <w:color w:val="808080" w:themeColor="background1" w:themeShade="80"/>
              <w:sz w:val="18"/>
              <w:szCs w:val="18"/>
            </w:rPr>
            <w:t>Kruidtuinlaan</w:t>
          </w:r>
          <w:r w:rsidR="004C082D" w:rsidRPr="00A92501">
            <w:rPr>
              <w:color w:val="808080" w:themeColor="background1" w:themeShade="80"/>
              <w:sz w:val="18"/>
              <w:szCs w:val="18"/>
            </w:rPr>
            <w:t xml:space="preserve"> 50 </w:t>
          </w:r>
          <w:r w:rsidR="00A17167" w:rsidRPr="00A92501">
            <w:rPr>
              <w:color w:val="808080" w:themeColor="background1" w:themeShade="80"/>
              <w:sz w:val="18"/>
              <w:szCs w:val="18"/>
            </w:rPr>
            <w:t>b</w:t>
          </w:r>
          <w:r w:rsidRPr="00A92501">
            <w:rPr>
              <w:color w:val="808080" w:themeColor="background1" w:themeShade="80"/>
              <w:sz w:val="18"/>
              <w:szCs w:val="18"/>
            </w:rPr>
            <w:t>us</w:t>
          </w:r>
          <w:r w:rsidR="004C082D" w:rsidRPr="00A92501">
            <w:rPr>
              <w:color w:val="808080" w:themeColor="background1" w:themeShade="80"/>
              <w:sz w:val="18"/>
              <w:szCs w:val="18"/>
            </w:rPr>
            <w:t xml:space="preserve"> 165</w:t>
          </w:r>
        </w:p>
        <w:p w14:paraId="719B410C" w14:textId="3BC29B34" w:rsidR="004C082D" w:rsidRPr="00A92501" w:rsidRDefault="004C082D" w:rsidP="00F14040">
          <w:pPr>
            <w:pStyle w:val="Header"/>
            <w:jc w:val="right"/>
            <w:rPr>
              <w:color w:val="808080" w:themeColor="background1" w:themeShade="80"/>
              <w:sz w:val="18"/>
              <w:szCs w:val="18"/>
            </w:rPr>
          </w:pPr>
          <w:r w:rsidRPr="00A92501">
            <w:rPr>
              <w:color w:val="808080" w:themeColor="background1" w:themeShade="80"/>
              <w:sz w:val="18"/>
              <w:szCs w:val="18"/>
            </w:rPr>
            <w:t>B-1000 Bru</w:t>
          </w:r>
          <w:r w:rsidR="00FA69F3" w:rsidRPr="00A92501">
            <w:rPr>
              <w:color w:val="808080" w:themeColor="background1" w:themeShade="80"/>
              <w:sz w:val="18"/>
              <w:szCs w:val="18"/>
            </w:rPr>
            <w:t>ssel</w:t>
          </w:r>
        </w:p>
        <w:p w14:paraId="6C1B516F" w14:textId="77777777" w:rsidR="004C082D" w:rsidRPr="00A92501" w:rsidRDefault="004C082D" w:rsidP="00F14040">
          <w:pPr>
            <w:pStyle w:val="Header"/>
            <w:jc w:val="right"/>
            <w:rPr>
              <w:color w:val="808080" w:themeColor="background1" w:themeShade="80"/>
              <w:sz w:val="18"/>
              <w:szCs w:val="18"/>
            </w:rPr>
          </w:pPr>
          <w:r w:rsidRPr="00A92501">
            <w:rPr>
              <w:color w:val="808080" w:themeColor="background1" w:themeShade="80"/>
              <w:sz w:val="18"/>
              <w:szCs w:val="18"/>
            </w:rPr>
            <w:t>T. +32 2 508 85 8</w:t>
          </w:r>
          <w:r w:rsidR="00A17167" w:rsidRPr="00A92501">
            <w:rPr>
              <w:color w:val="808080" w:themeColor="background1" w:themeShade="80"/>
              <w:sz w:val="18"/>
              <w:szCs w:val="18"/>
            </w:rPr>
            <w:t>6</w:t>
          </w:r>
        </w:p>
        <w:p w14:paraId="6F0FF4B3" w14:textId="2E7C3917" w:rsidR="004C082D" w:rsidRPr="00A92501" w:rsidRDefault="004C082D" w:rsidP="00F14040">
          <w:pPr>
            <w:pStyle w:val="Header"/>
            <w:jc w:val="right"/>
            <w:rPr>
              <w:color w:val="808080" w:themeColor="background1" w:themeShade="80"/>
              <w:sz w:val="18"/>
              <w:szCs w:val="18"/>
            </w:rPr>
          </w:pPr>
          <w:r w:rsidRPr="00A92501">
            <w:rPr>
              <w:color w:val="808080" w:themeColor="background1" w:themeShade="80"/>
              <w:sz w:val="18"/>
              <w:szCs w:val="18"/>
            </w:rPr>
            <w:t xml:space="preserve">E. </w:t>
          </w:r>
          <w:hyperlink r:id="rId2" w:history="1">
            <w:r w:rsidR="00FA69F3" w:rsidRPr="00A92501">
              <w:rPr>
                <w:rStyle w:val="Hyperlink"/>
                <w:sz w:val="18"/>
                <w:szCs w:val="18"/>
              </w:rPr>
              <w:t>vraag@mi-is.be</w:t>
            </w:r>
          </w:hyperlink>
          <w:r w:rsidR="00A17167" w:rsidRPr="00A92501">
            <w:rPr>
              <w:color w:val="808080" w:themeColor="background1" w:themeShade="80"/>
              <w:sz w:val="18"/>
              <w:szCs w:val="18"/>
            </w:rPr>
            <w:t xml:space="preserve"> </w:t>
          </w:r>
        </w:p>
        <w:p w14:paraId="522B6E16" w14:textId="77777777" w:rsidR="004C082D" w:rsidRPr="007E11F7" w:rsidRDefault="00664CD1"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7DD2AC38" w:rsidR="004C082D" w:rsidRPr="007E11F7" w:rsidRDefault="00FA69F3">
          <w:pPr>
            <w:pStyle w:val="Header"/>
            <w:rPr>
              <w:b/>
              <w:color w:val="808080" w:themeColor="background1" w:themeShade="80"/>
              <w:sz w:val="18"/>
              <w:szCs w:val="18"/>
              <w:lang w:val="fr-FR"/>
            </w:rPr>
          </w:pPr>
          <w:r>
            <w:rPr>
              <w:b/>
              <w:color w:val="808080" w:themeColor="background1" w:themeShade="80"/>
              <w:sz w:val="18"/>
              <w:szCs w:val="18"/>
              <w:lang w:val="fr-FR"/>
            </w:rPr>
            <w:t>Ter attentie van</w:t>
          </w:r>
          <w:r w:rsidR="004E42C9">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C44CD5" w:rsidRPr="00C55B5D" w14:paraId="12A8F0AF" w14:textId="77777777" w:rsidTr="00A17167">
      <w:tc>
        <w:tcPr>
          <w:tcW w:w="2545" w:type="dxa"/>
          <w:tcBorders>
            <w:top w:val="single" w:sz="4" w:space="0" w:color="auto"/>
          </w:tcBorders>
        </w:tcPr>
        <w:p w14:paraId="38C3A3DB" w14:textId="20267565" w:rsidR="00C44CD5" w:rsidRPr="00C55B5D" w:rsidRDefault="00FA69F3" w:rsidP="00C44CD5">
          <w:pPr>
            <w:pStyle w:val="Header"/>
            <w:jc w:val="right"/>
            <w:rPr>
              <w:b/>
              <w:color w:val="808080" w:themeColor="background1" w:themeShade="80"/>
              <w:sz w:val="18"/>
              <w:szCs w:val="18"/>
              <w:lang w:val="fr-FR"/>
            </w:rPr>
          </w:pPr>
          <w:r>
            <w:rPr>
              <w:b/>
              <w:color w:val="808080" w:themeColor="background1" w:themeShade="80"/>
              <w:sz w:val="18"/>
              <w:szCs w:val="18"/>
              <w:lang w:val="fr-FR"/>
            </w:rPr>
            <w:t>Dienst</w:t>
          </w:r>
          <w:r w:rsidR="00C44CD5">
            <w:rPr>
              <w:b/>
              <w:color w:val="808080" w:themeColor="background1" w:themeShade="80"/>
              <w:sz w:val="18"/>
              <w:szCs w:val="18"/>
              <w:lang w:val="fr-FR"/>
            </w:rPr>
            <w:t> :</w:t>
          </w:r>
        </w:p>
      </w:tc>
      <w:tc>
        <w:tcPr>
          <w:tcW w:w="2984" w:type="dxa"/>
          <w:tcBorders>
            <w:top w:val="single" w:sz="4" w:space="0" w:color="auto"/>
          </w:tcBorders>
        </w:tcPr>
        <w:p w14:paraId="4471D9EE" w14:textId="1B6175E2" w:rsidR="00C44CD5" w:rsidRPr="00C55B5D" w:rsidRDefault="00C44CD5" w:rsidP="00C44CD5">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7CF14D4C" w:rsidR="00C44CD5" w:rsidRPr="00C55B5D" w:rsidRDefault="00C44CD5" w:rsidP="00C44CD5">
          <w:pPr>
            <w:pStyle w:val="Header"/>
            <w:jc w:val="right"/>
            <w:rPr>
              <w:b/>
              <w:color w:val="808080" w:themeColor="background1" w:themeShade="80"/>
              <w:sz w:val="18"/>
              <w:szCs w:val="18"/>
              <w:lang w:val="fr-FR"/>
            </w:rPr>
          </w:pPr>
          <w:r>
            <w:rPr>
              <w:b/>
              <w:color w:val="808080" w:themeColor="background1" w:themeShade="80"/>
              <w:sz w:val="18"/>
              <w:szCs w:val="18"/>
              <w:lang w:val="fr-FR"/>
            </w:rPr>
            <w:t>Da</w:t>
          </w:r>
          <w:r w:rsidR="00FA69F3">
            <w:rPr>
              <w:b/>
              <w:color w:val="808080" w:themeColor="background1" w:themeShade="80"/>
              <w:sz w:val="18"/>
              <w:szCs w:val="18"/>
              <w:lang w:val="fr-FR"/>
            </w:rPr>
            <w:t>tum</w:t>
          </w:r>
          <w:r>
            <w:rPr>
              <w:b/>
              <w:color w:val="808080" w:themeColor="background1" w:themeShade="80"/>
              <w:sz w:val="18"/>
              <w:szCs w:val="18"/>
              <w:lang w:val="fr-FR"/>
            </w:rPr>
            <w:t xml:space="preserve"> :</w:t>
          </w:r>
        </w:p>
      </w:tc>
      <w:tc>
        <w:tcPr>
          <w:tcW w:w="2476" w:type="dxa"/>
          <w:tcBorders>
            <w:top w:val="single" w:sz="4" w:space="0" w:color="auto"/>
          </w:tcBorders>
        </w:tcPr>
        <w:p w14:paraId="6269DF50" w14:textId="3B329D72" w:rsidR="00C44CD5" w:rsidRPr="00C55B5D" w:rsidRDefault="00042974" w:rsidP="00C44CD5">
          <w:pPr>
            <w:pStyle w:val="Header"/>
            <w:rPr>
              <w:color w:val="808080" w:themeColor="background1" w:themeShade="80"/>
              <w:sz w:val="18"/>
              <w:szCs w:val="18"/>
              <w:lang w:val="fr-FR"/>
            </w:rPr>
          </w:pPr>
          <w:r>
            <w:rPr>
              <w:color w:val="808080" w:themeColor="background1" w:themeShade="80"/>
              <w:sz w:val="18"/>
              <w:szCs w:val="18"/>
              <w:lang w:val="fr-FR"/>
            </w:rPr>
            <w:t>13</w:t>
          </w:r>
          <w:r w:rsidR="00C44CD5">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283EA975" w:rsidR="003D7888" w:rsidRPr="00C55B5D" w:rsidRDefault="00FA69F3" w:rsidP="003D7888">
          <w:pPr>
            <w:pStyle w:val="Header"/>
            <w:jc w:val="right"/>
            <w:rPr>
              <w:b/>
              <w:color w:val="808080" w:themeColor="background1" w:themeShade="80"/>
              <w:sz w:val="18"/>
              <w:szCs w:val="18"/>
              <w:lang w:val="fr-FR"/>
            </w:rPr>
          </w:pPr>
          <w:r>
            <w:rPr>
              <w:b/>
              <w:color w:val="808080" w:themeColor="background1" w:themeShade="80"/>
              <w:sz w:val="18"/>
              <w:szCs w:val="18"/>
              <w:lang w:val="fr-FR"/>
            </w:rPr>
            <w:t>Contactpersonen</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2984" w:type="dxa"/>
        </w:tcPr>
        <w:p w14:paraId="2F3DED02" w14:textId="60D01E76" w:rsidR="003D7888" w:rsidRPr="004A2C83" w:rsidRDefault="004A2C83" w:rsidP="003D7888">
          <w:pPr>
            <w:pStyle w:val="Header"/>
            <w:rPr>
              <w:color w:val="808080" w:themeColor="background1" w:themeShade="80"/>
              <w:sz w:val="18"/>
              <w:szCs w:val="18"/>
            </w:rPr>
          </w:pPr>
          <w:r w:rsidRPr="004A2C83">
            <w:rPr>
              <w:color w:val="808080" w:themeColor="background1" w:themeShade="80"/>
              <w:sz w:val="18"/>
              <w:szCs w:val="18"/>
            </w:rPr>
            <w:t>Anita Opfergelt et Noémie Wo</w:t>
          </w:r>
          <w:r>
            <w:rPr>
              <w:color w:val="808080" w:themeColor="background1" w:themeShade="80"/>
              <w:sz w:val="18"/>
              <w:szCs w:val="18"/>
            </w:rPr>
            <w:t>uters</w:t>
          </w:r>
        </w:p>
      </w:tc>
      <w:tc>
        <w:tcPr>
          <w:tcW w:w="1913" w:type="dxa"/>
        </w:tcPr>
        <w:p w14:paraId="75BA32D3" w14:textId="4080F02F" w:rsidR="003D7888" w:rsidRPr="00C55B5D" w:rsidRDefault="00FA69F3" w:rsidP="003D7888">
          <w:pPr>
            <w:pStyle w:val="Header"/>
            <w:jc w:val="right"/>
            <w:rPr>
              <w:b/>
              <w:color w:val="808080" w:themeColor="background1" w:themeShade="80"/>
              <w:sz w:val="18"/>
              <w:szCs w:val="18"/>
              <w:lang w:val="fr-FR"/>
            </w:rPr>
          </w:pPr>
          <w:r>
            <w:rPr>
              <w:b/>
              <w:color w:val="808080" w:themeColor="background1" w:themeShade="80"/>
              <w:sz w:val="18"/>
              <w:szCs w:val="18"/>
              <w:lang w:val="fr-FR"/>
            </w:rPr>
            <w:t>Bijlage(n</w:t>
          </w:r>
          <w:r w:rsidR="001145CB">
            <w:rPr>
              <w:b/>
              <w:color w:val="808080" w:themeColor="background1" w:themeShade="80"/>
              <w:sz w:val="18"/>
              <w:szCs w:val="18"/>
              <w:lang w:val="fr-FR"/>
            </w:rPr>
            <w:t>)</w:t>
          </w:r>
          <w:r w:rsidR="001145CB" w:rsidRPr="00C55B5D">
            <w:rPr>
              <w:b/>
              <w:color w:val="808080" w:themeColor="background1" w:themeShade="80"/>
              <w:sz w:val="18"/>
              <w:szCs w:val="18"/>
              <w:lang w:val="fr-FR"/>
            </w:rPr>
            <w:t xml:space="preserve"> :</w:t>
          </w:r>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634CAD39" w:rsidR="003D7888" w:rsidRPr="00C55B5D" w:rsidRDefault="00FA69F3"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Onze referentie</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675650" w14:paraId="673F54AE" w14:textId="77777777" w:rsidTr="00A17167">
      <w:tc>
        <w:tcPr>
          <w:tcW w:w="2545" w:type="dxa"/>
          <w:tcBorders>
            <w:bottom w:val="single" w:sz="4" w:space="0" w:color="auto"/>
          </w:tcBorders>
        </w:tcPr>
        <w:p w14:paraId="0B69C345" w14:textId="507ADC15" w:rsidR="003D7888" w:rsidRPr="00C55B5D" w:rsidRDefault="00FA69F3"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Onderwerp</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0769013C" w:rsidR="003D7888" w:rsidRPr="00A92501" w:rsidRDefault="00D057A0" w:rsidP="00F358A0">
          <w:pPr>
            <w:pStyle w:val="Header"/>
            <w:rPr>
              <w:color w:val="808080" w:themeColor="background1" w:themeShade="80"/>
              <w:sz w:val="18"/>
              <w:szCs w:val="18"/>
            </w:rPr>
          </w:pPr>
          <w:r w:rsidRPr="00A92501">
            <w:rPr>
              <w:color w:val="808080" w:themeColor="background1" w:themeShade="80"/>
              <w:sz w:val="18"/>
              <w:szCs w:val="18"/>
            </w:rPr>
            <w:t>Voorbereidende fiche voor het Federaal Plan Armoedebestrijding : thema « maatschappelijke integratie en werk</w:t>
          </w:r>
          <w:r w:rsidR="00C44CD5" w:rsidRPr="00A92501">
            <w:rPr>
              <w:color w:val="808080" w:themeColor="background1" w:themeShade="80"/>
              <w:sz w:val="18"/>
              <w:szCs w:val="18"/>
            </w:rPr>
            <w:t>»</w:t>
          </w:r>
        </w:p>
      </w:tc>
    </w:tr>
  </w:tbl>
  <w:p w14:paraId="03A095EB" w14:textId="77777777" w:rsidR="00F14040" w:rsidRPr="00A92501" w:rsidRDefault="00F14040">
    <w:pPr>
      <w:pStyle w:val="Header"/>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73E1"/>
    <w:multiLevelType w:val="hybridMultilevel"/>
    <w:tmpl w:val="5B1A66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3953BB3"/>
    <w:multiLevelType w:val="hybridMultilevel"/>
    <w:tmpl w:val="876832BC"/>
    <w:lvl w:ilvl="0" w:tplc="8030207C">
      <w:numFmt w:val="bullet"/>
      <w:lvlText w:val="-"/>
      <w:lvlJc w:val="left"/>
      <w:pPr>
        <w:ind w:left="720" w:hanging="360"/>
      </w:pPr>
      <w:rPr>
        <w:rFonts w:ascii="Aptos Narrow" w:eastAsia="Times New Roman" w:hAnsi="Aptos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987447"/>
    <w:multiLevelType w:val="multilevel"/>
    <w:tmpl w:val="0FA0AB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6178DD"/>
    <w:multiLevelType w:val="hybridMultilevel"/>
    <w:tmpl w:val="50B0D132"/>
    <w:lvl w:ilvl="0" w:tplc="F29AC77A">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AC47CE"/>
    <w:multiLevelType w:val="hybridMultilevel"/>
    <w:tmpl w:val="2CFAC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3"/>
  </w:num>
  <w:num w:numId="12" w16cid:durableId="916938953">
    <w:abstractNumId w:val="11"/>
  </w:num>
  <w:num w:numId="13" w16cid:durableId="1021855431">
    <w:abstractNumId w:val="14"/>
  </w:num>
  <w:num w:numId="14" w16cid:durableId="1114251571">
    <w:abstractNumId w:val="12"/>
  </w:num>
  <w:num w:numId="15" w16cid:durableId="1334260513">
    <w:abstractNumId w:val="10"/>
  </w:num>
  <w:num w:numId="16" w16cid:durableId="2009671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14BFA"/>
    <w:rsid w:val="00042974"/>
    <w:rsid w:val="00054541"/>
    <w:rsid w:val="0009365C"/>
    <w:rsid w:val="000B3CB0"/>
    <w:rsid w:val="00112D95"/>
    <w:rsid w:val="001145CB"/>
    <w:rsid w:val="001618BB"/>
    <w:rsid w:val="001D7D33"/>
    <w:rsid w:val="001E6F2B"/>
    <w:rsid w:val="00233ADC"/>
    <w:rsid w:val="00235F34"/>
    <w:rsid w:val="00341341"/>
    <w:rsid w:val="003757BF"/>
    <w:rsid w:val="003D7888"/>
    <w:rsid w:val="003E04E2"/>
    <w:rsid w:val="00412797"/>
    <w:rsid w:val="00497433"/>
    <w:rsid w:val="004A084F"/>
    <w:rsid w:val="004A2C83"/>
    <w:rsid w:val="004C082D"/>
    <w:rsid w:val="004C2C4C"/>
    <w:rsid w:val="004D624C"/>
    <w:rsid w:val="004E42C9"/>
    <w:rsid w:val="00553380"/>
    <w:rsid w:val="00587F67"/>
    <w:rsid w:val="005A6803"/>
    <w:rsid w:val="005A6F59"/>
    <w:rsid w:val="005B2974"/>
    <w:rsid w:val="0062271E"/>
    <w:rsid w:val="00624967"/>
    <w:rsid w:val="00641E56"/>
    <w:rsid w:val="0066406F"/>
    <w:rsid w:val="00664CD1"/>
    <w:rsid w:val="00675650"/>
    <w:rsid w:val="006A3DA1"/>
    <w:rsid w:val="006A55F9"/>
    <w:rsid w:val="006C3F97"/>
    <w:rsid w:val="0070660F"/>
    <w:rsid w:val="007C1D98"/>
    <w:rsid w:val="007C3BE6"/>
    <w:rsid w:val="007E11F7"/>
    <w:rsid w:val="007F6441"/>
    <w:rsid w:val="00890E8A"/>
    <w:rsid w:val="008C5014"/>
    <w:rsid w:val="008D12FD"/>
    <w:rsid w:val="008E1480"/>
    <w:rsid w:val="0096318C"/>
    <w:rsid w:val="009826BE"/>
    <w:rsid w:val="009951A7"/>
    <w:rsid w:val="009A1523"/>
    <w:rsid w:val="009B1C92"/>
    <w:rsid w:val="009C4862"/>
    <w:rsid w:val="009E5430"/>
    <w:rsid w:val="00A14CE7"/>
    <w:rsid w:val="00A17167"/>
    <w:rsid w:val="00A41A73"/>
    <w:rsid w:val="00A92501"/>
    <w:rsid w:val="00AF2155"/>
    <w:rsid w:val="00B207D8"/>
    <w:rsid w:val="00B23866"/>
    <w:rsid w:val="00B375A1"/>
    <w:rsid w:val="00B530E6"/>
    <w:rsid w:val="00B85181"/>
    <w:rsid w:val="00B92E73"/>
    <w:rsid w:val="00C20C6A"/>
    <w:rsid w:val="00C31192"/>
    <w:rsid w:val="00C44CD5"/>
    <w:rsid w:val="00C55B5D"/>
    <w:rsid w:val="00CB3B14"/>
    <w:rsid w:val="00D057A0"/>
    <w:rsid w:val="00D07547"/>
    <w:rsid w:val="00D20A23"/>
    <w:rsid w:val="00D438B7"/>
    <w:rsid w:val="00D767FF"/>
    <w:rsid w:val="00DE2DB9"/>
    <w:rsid w:val="00DE3832"/>
    <w:rsid w:val="00DF4D99"/>
    <w:rsid w:val="00E129A1"/>
    <w:rsid w:val="00E52CA5"/>
    <w:rsid w:val="00E53096"/>
    <w:rsid w:val="00EA4079"/>
    <w:rsid w:val="00EB7694"/>
    <w:rsid w:val="00F14040"/>
    <w:rsid w:val="00F358A0"/>
    <w:rsid w:val="00FA69F3"/>
    <w:rsid w:val="00FD5D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4C2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C4C"/>
    <w:rPr>
      <w:sz w:val="20"/>
      <w:szCs w:val="20"/>
    </w:rPr>
  </w:style>
  <w:style w:type="character" w:styleId="FootnoteReference">
    <w:name w:val="footnote reference"/>
    <w:basedOn w:val="DefaultParagraphFont"/>
    <w:uiPriority w:val="99"/>
    <w:semiHidden/>
    <w:unhideWhenUsed/>
    <w:rsid w:val="004C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4480">
      <w:bodyDiv w:val="1"/>
      <w:marLeft w:val="0"/>
      <w:marRight w:val="0"/>
      <w:marTop w:val="0"/>
      <w:marBottom w:val="0"/>
      <w:divBdr>
        <w:top w:val="none" w:sz="0" w:space="0" w:color="auto"/>
        <w:left w:val="none" w:sz="0" w:space="0" w:color="auto"/>
        <w:bottom w:val="none" w:sz="0" w:space="0" w:color="auto"/>
        <w:right w:val="none" w:sz="0" w:space="0" w:color="auto"/>
      </w:divBdr>
    </w:div>
    <w:div w:id="681902134">
      <w:bodyDiv w:val="1"/>
      <w:marLeft w:val="0"/>
      <w:marRight w:val="0"/>
      <w:marTop w:val="0"/>
      <w:marBottom w:val="0"/>
      <w:divBdr>
        <w:top w:val="none" w:sz="0" w:space="0" w:color="auto"/>
        <w:left w:val="none" w:sz="0" w:space="0" w:color="auto"/>
        <w:bottom w:val="none" w:sz="0" w:space="0" w:color="auto"/>
        <w:right w:val="none" w:sz="0" w:space="0" w:color="auto"/>
      </w:divBdr>
    </w:div>
    <w:div w:id="11004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icators.be/nl/i/G08_NEE/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vraag@mi-is.be"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https://memopoint.yourict.be/dep</xsnScope>
</customXsn>
</file>

<file path=customXml/itemProps1.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0F58F-8C67-4F4D-9464-0F1717B18287}">
  <ds:schemaRefs>
    <ds:schemaRef ds:uri="http://schemas.microsoft.com/sharepoint/v3/contenttype/forms"/>
  </ds:schemaRefs>
</ds:datastoreItem>
</file>

<file path=customXml/itemProps3.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4.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5.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6.xml><?xml version="1.0" encoding="utf-8"?>
<ds:datastoreItem xmlns:ds="http://schemas.openxmlformats.org/officeDocument/2006/customXml" ds:itemID="{88D98776-A160-46C1-8542-B83C154A07A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874</Words>
  <Characters>4808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13</cp:revision>
  <dcterms:created xsi:type="dcterms:W3CDTF">2025-05-26T10:23:00Z</dcterms:created>
  <dcterms:modified xsi:type="dcterms:W3CDTF">2025-06-13T07:30:00Z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