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77EB" w14:textId="15DF01D1" w:rsidR="006A3DA1" w:rsidRPr="006A3DA1" w:rsidRDefault="006A3DA1" w:rsidP="006A3DA1">
      <w:pPr>
        <w:jc w:val="center"/>
        <w:rPr>
          <w:b/>
          <w:bCs/>
          <w:sz w:val="36"/>
          <w:szCs w:val="36"/>
          <w:u w:val="single"/>
          <w:lang w:val="fr-FR"/>
        </w:rPr>
      </w:pPr>
      <w:bookmarkStart w:id="0" w:name="_Hlk198891794"/>
      <w:r>
        <w:rPr>
          <w:b/>
          <w:bCs/>
          <w:sz w:val="36"/>
          <w:szCs w:val="36"/>
          <w:u w:val="single"/>
          <w:lang w:val="fr-FR"/>
        </w:rPr>
        <w:t>Fiche préparatoire au Plan fédéral de lutte contre la pauvreté</w:t>
      </w:r>
      <w:r w:rsidR="00675650">
        <w:rPr>
          <w:b/>
          <w:bCs/>
          <w:sz w:val="36"/>
          <w:szCs w:val="36"/>
          <w:u w:val="single"/>
          <w:lang w:val="fr-FR"/>
        </w:rPr>
        <w:t xml:space="preserve"> : thématique </w:t>
      </w:r>
      <w:bookmarkEnd w:id="0"/>
      <w:r w:rsidR="00675650">
        <w:rPr>
          <w:b/>
          <w:bCs/>
          <w:sz w:val="36"/>
          <w:szCs w:val="36"/>
          <w:u w:val="single"/>
          <w:lang w:val="fr-FR"/>
        </w:rPr>
        <w:t>« </w:t>
      </w:r>
      <w:r w:rsidR="00235F34">
        <w:rPr>
          <w:b/>
          <w:bCs/>
          <w:sz w:val="36"/>
          <w:szCs w:val="36"/>
          <w:u w:val="single"/>
          <w:lang w:val="fr-FR"/>
        </w:rPr>
        <w:t>intégration sociale et emploi</w:t>
      </w:r>
      <w:r w:rsidR="00675650">
        <w:rPr>
          <w:b/>
          <w:bCs/>
          <w:sz w:val="36"/>
          <w:szCs w:val="36"/>
          <w:u w:val="single"/>
          <w:lang w:val="fr-FR"/>
        </w:rPr>
        <w:t> »</w:t>
      </w:r>
    </w:p>
    <w:p w14:paraId="3A71F355" w14:textId="77777777" w:rsidR="00D91EF4" w:rsidRDefault="006A3DA1" w:rsidP="007C1626">
      <w:pPr>
        <w:spacing w:before="240"/>
        <w:jc w:val="both"/>
        <w:rPr>
          <w:lang w:val="fr-FR"/>
        </w:rPr>
      </w:pPr>
      <w:bookmarkStart w:id="1" w:name="_Hlk198892016"/>
      <w:bookmarkStart w:id="2" w:name="_Hlk200116869"/>
      <w:r w:rsidRPr="007C1626">
        <w:rPr>
          <w:lang w:val="fr-FR"/>
        </w:rPr>
        <w:t>Conformément à la loi du 9 octobre 2023, un plan fédéral de lutte contre la pauvreté devra être adopté dans les douze mois qui suivent l’installation du Conseil des Ministre</w:t>
      </w:r>
      <w:r w:rsidR="00341341" w:rsidRPr="007C1626">
        <w:rPr>
          <w:lang w:val="fr-FR"/>
        </w:rPr>
        <w:t>s</w:t>
      </w:r>
      <w:r w:rsidR="00DE3832" w:rsidRPr="007C1626">
        <w:rPr>
          <w:lang w:val="fr-FR"/>
        </w:rPr>
        <w:t>, soit pour</w:t>
      </w:r>
      <w:r w:rsidR="00341341" w:rsidRPr="007C1626">
        <w:rPr>
          <w:lang w:val="fr-FR"/>
        </w:rPr>
        <w:t xml:space="preserve"> le 2 février 2026</w:t>
      </w:r>
      <w:r w:rsidRPr="007C1626">
        <w:rPr>
          <w:lang w:val="fr-FR"/>
        </w:rPr>
        <w:t>.</w:t>
      </w:r>
      <w:bookmarkEnd w:id="1"/>
    </w:p>
    <w:p w14:paraId="7718575F" w14:textId="05FAA390" w:rsidR="00EE1087" w:rsidRPr="00EE1087" w:rsidRDefault="00D91EF4" w:rsidP="007C1626">
      <w:pPr>
        <w:spacing w:before="240"/>
        <w:jc w:val="both"/>
        <w:rPr>
          <w:lang w:val="fr-BE"/>
        </w:rPr>
      </w:pPr>
      <w:r>
        <w:rPr>
          <w:lang w:val="fr-FR"/>
        </w:rPr>
        <w:t>Dans ce cadre, le cabinet du</w:t>
      </w:r>
      <w:r w:rsidR="007C1626" w:rsidRPr="007C1626">
        <w:rPr>
          <w:lang w:val="fr-FR"/>
        </w:rPr>
        <w:t xml:space="preserve"> </w:t>
      </w:r>
      <w:r w:rsidR="007C1626">
        <w:rPr>
          <w:lang w:val="fr-FR"/>
        </w:rPr>
        <w:t xml:space="preserve">Ministre </w:t>
      </w:r>
      <w:r w:rsidR="007C1626" w:rsidRPr="00EE1087">
        <w:rPr>
          <w:lang w:val="fr-BE"/>
        </w:rPr>
        <w:t>Vandenbroucke, en charge de la lutte contre la pauvreté</w:t>
      </w:r>
      <w:r>
        <w:rPr>
          <w:lang w:val="fr-BE"/>
        </w:rPr>
        <w:t>, a défini quelques grandes lignes directrices :</w:t>
      </w:r>
      <w:r w:rsidR="007C1626">
        <w:rPr>
          <w:lang w:val="fr-BE"/>
        </w:rPr>
        <w:t> </w:t>
      </w:r>
      <w:r w:rsidR="007C1626" w:rsidRPr="007C1626">
        <w:rPr>
          <w:lang w:val="fr-FR"/>
        </w:rPr>
        <w:t xml:space="preserve"> </w:t>
      </w:r>
    </w:p>
    <w:p w14:paraId="7BDCCE6B" w14:textId="77777777" w:rsidR="00EE1087" w:rsidRDefault="00EE1087" w:rsidP="00EE1087">
      <w:pPr>
        <w:spacing w:after="0"/>
        <w:rPr>
          <w:lang w:val="fr-FR"/>
        </w:rPr>
      </w:pPr>
      <w:r>
        <w:rPr>
          <w:lang w:val="fr-FR"/>
        </w:rPr>
        <w:t xml:space="preserve">1. L'intégration de tous dans une société inclusive : </w:t>
      </w:r>
    </w:p>
    <w:p w14:paraId="60E7E943" w14:textId="77777777" w:rsidR="00EE1087" w:rsidRDefault="00EE1087" w:rsidP="00EE1087">
      <w:pPr>
        <w:spacing w:after="0"/>
        <w:ind w:firstLine="708"/>
        <w:rPr>
          <w:lang w:val="fr-FR"/>
          <w14:ligatures w14:val="standardContextual"/>
        </w:rPr>
      </w:pPr>
      <w:r>
        <w:rPr>
          <w:lang w:val="fr-FR"/>
        </w:rPr>
        <w:t>a. Un travail comme barrage contre la pauvreté</w:t>
      </w:r>
    </w:p>
    <w:p w14:paraId="3BEC9C10" w14:textId="77777777" w:rsidR="00EE1087" w:rsidRDefault="00EE1087" w:rsidP="00EE1087">
      <w:pPr>
        <w:spacing w:after="0"/>
        <w:ind w:firstLine="708"/>
        <w:rPr>
          <w:lang w:val="fr-FR"/>
        </w:rPr>
      </w:pPr>
      <w:r>
        <w:rPr>
          <w:lang w:val="fr-FR"/>
        </w:rPr>
        <w:t>b. Un système de sécurité sociale solide comme barrage contre la pauvreté</w:t>
      </w:r>
    </w:p>
    <w:p w14:paraId="7F2BDACA" w14:textId="77777777" w:rsidR="00EE1087" w:rsidRDefault="00EE1087" w:rsidP="00EE1087">
      <w:pPr>
        <w:spacing w:after="0"/>
        <w:ind w:firstLine="708"/>
        <w:rPr>
          <w:lang w:val="fr-FR"/>
        </w:rPr>
      </w:pPr>
      <w:r>
        <w:rPr>
          <w:lang w:val="fr-FR"/>
        </w:rPr>
        <w:t>c. Accessibilité des services et lutte contre le non take up</w:t>
      </w:r>
    </w:p>
    <w:p w14:paraId="50757470" w14:textId="77777777" w:rsidR="00EE1087" w:rsidRDefault="00EE1087" w:rsidP="00EE1087">
      <w:pPr>
        <w:spacing w:after="0"/>
        <w:rPr>
          <w:lang w:val="fr-FR"/>
        </w:rPr>
      </w:pPr>
      <w:r>
        <w:rPr>
          <w:lang w:val="fr-FR"/>
        </w:rPr>
        <w:t>2. Pauvreté et santé</w:t>
      </w:r>
    </w:p>
    <w:p w14:paraId="4500CCAC" w14:textId="77777777" w:rsidR="00EE1087" w:rsidRDefault="00EE1087" w:rsidP="00EE1087">
      <w:pPr>
        <w:spacing w:after="0"/>
        <w:rPr>
          <w:lang w:val="fr-FR"/>
        </w:rPr>
      </w:pPr>
      <w:r>
        <w:rPr>
          <w:lang w:val="fr-FR"/>
        </w:rPr>
        <w:t>3. La lutte contre le surendettement</w:t>
      </w:r>
    </w:p>
    <w:p w14:paraId="38560154" w14:textId="567DD3DF" w:rsidR="007C1626" w:rsidRDefault="00EE1087" w:rsidP="007C1626">
      <w:pPr>
        <w:spacing w:after="0"/>
        <w:rPr>
          <w:lang w:val="fr-FR"/>
        </w:rPr>
      </w:pPr>
      <w:r>
        <w:rPr>
          <w:lang w:val="fr-FR"/>
        </w:rPr>
        <w:t>4. Protéger le pouvoir d'achat des personnes en situation de pauvreté</w:t>
      </w:r>
    </w:p>
    <w:p w14:paraId="2B344429" w14:textId="657E5617" w:rsidR="00D91EF4" w:rsidRDefault="00EE1087" w:rsidP="00EE1087">
      <w:pPr>
        <w:spacing w:before="240"/>
        <w:jc w:val="both"/>
        <w:rPr>
          <w:lang w:val="fr-FR"/>
        </w:rPr>
      </w:pPr>
      <w:r>
        <w:rPr>
          <w:lang w:val="fr-FR"/>
        </w:rPr>
        <w:t>Le groupe de travail thématique sur</w:t>
      </w:r>
      <w:r w:rsidR="00D7163A">
        <w:rPr>
          <w:lang w:val="fr-FR"/>
        </w:rPr>
        <w:t xml:space="preserve"> </w:t>
      </w:r>
      <w:r>
        <w:rPr>
          <w:lang w:val="fr-FR"/>
        </w:rPr>
        <w:t>« </w:t>
      </w:r>
      <w:r w:rsidR="00D7163A">
        <w:rPr>
          <w:lang w:val="fr-FR"/>
        </w:rPr>
        <w:t>l’intégration sociale et l’emploi</w:t>
      </w:r>
      <w:r>
        <w:rPr>
          <w:lang w:val="fr-FR"/>
        </w:rPr>
        <w:t xml:space="preserve"> » se tiendra </w:t>
      </w:r>
      <w:r w:rsidRPr="00945F19">
        <w:rPr>
          <w:b/>
          <w:bCs/>
          <w:lang w:val="fr-FR"/>
        </w:rPr>
        <w:t xml:space="preserve">le </w:t>
      </w:r>
      <w:r w:rsidR="00945F19" w:rsidRPr="00945F19">
        <w:rPr>
          <w:b/>
          <w:bCs/>
          <w:lang w:val="fr-FR"/>
        </w:rPr>
        <w:t>mercredi 25 juin</w:t>
      </w:r>
      <w:r w:rsidR="005D6F9D">
        <w:rPr>
          <w:b/>
          <w:bCs/>
          <w:lang w:val="fr-FR"/>
        </w:rPr>
        <w:t xml:space="preserve"> 2025</w:t>
      </w:r>
      <w:r w:rsidR="00945F19" w:rsidRPr="00945F19">
        <w:rPr>
          <w:b/>
          <w:bCs/>
          <w:lang w:val="fr-FR"/>
        </w:rPr>
        <w:t xml:space="preserve"> de 9h30 – 12h</w:t>
      </w:r>
      <w:r>
        <w:rPr>
          <w:lang w:val="fr-FR"/>
        </w:rPr>
        <w:t>. Pour pouvoir préparer au mieux cette réunion, nous vous invitons à prendre connaissance de cette fiche</w:t>
      </w:r>
      <w:r w:rsidR="00D91EF4">
        <w:rPr>
          <w:lang w:val="fr-FR"/>
        </w:rPr>
        <w:t xml:space="preserve"> et de la liste de mesures élaborée par le cabinet sur base de l’accord de gouvernement. Vos recommandations liées à ces mesures </w:t>
      </w:r>
      <w:r w:rsidR="00D7163A">
        <w:rPr>
          <w:lang w:val="fr-FR"/>
        </w:rPr>
        <w:t xml:space="preserve">seront consignées dans une note qui sera remise au cabinet. </w:t>
      </w:r>
    </w:p>
    <w:p w14:paraId="6732B294" w14:textId="25A8C114" w:rsidR="00D91EF4" w:rsidRPr="00D91EF4" w:rsidRDefault="00D91EF4" w:rsidP="00EE1087">
      <w:pPr>
        <w:spacing w:before="240"/>
        <w:jc w:val="both"/>
        <w:rPr>
          <w:lang w:val="fr-BE"/>
        </w:rPr>
      </w:pPr>
      <w:r>
        <w:rPr>
          <w:lang w:val="fr-FR"/>
        </w:rPr>
        <w:t>Lors de nos échanges, nous vous demandons de prendre en compte le souhait du Ministre d’intégrer</w:t>
      </w:r>
      <w:r w:rsidR="00D7163A">
        <w:rPr>
          <w:lang w:val="fr-FR"/>
        </w:rPr>
        <w:t xml:space="preserve"> uniquement de nouvelles mesures dans le Plan fédéral de lutte contre la pauvreté, et de limiter le nombre de ces mesures</w:t>
      </w:r>
      <w:r>
        <w:rPr>
          <w:lang w:val="fr-FR"/>
        </w:rPr>
        <w:t xml:space="preserve"> dans un objectif d’efficacité.</w:t>
      </w:r>
      <w:r w:rsidR="00D7163A">
        <w:rPr>
          <w:lang w:val="fr-BE"/>
        </w:rPr>
        <w:t xml:space="preserve"> </w:t>
      </w:r>
    </w:p>
    <w:p w14:paraId="6F02A76A" w14:textId="2FE9079D" w:rsidR="00EE1087" w:rsidRDefault="00EE1087" w:rsidP="00EE1087">
      <w:pPr>
        <w:spacing w:before="240"/>
        <w:jc w:val="both"/>
        <w:rPr>
          <w:lang w:val="fr-FR"/>
        </w:rPr>
      </w:pPr>
      <w:r>
        <w:rPr>
          <w:lang w:val="fr-FR"/>
        </w:rPr>
        <w:t>Nous vous remercions d’avance pour votre collaboration !</w:t>
      </w:r>
    </w:p>
    <w:bookmarkEnd w:id="2"/>
    <w:p w14:paraId="2594EAF2" w14:textId="4AF7F582" w:rsidR="00F358A0" w:rsidRPr="006A3DA1" w:rsidRDefault="00EE1087" w:rsidP="006A3DA1">
      <w:pPr>
        <w:jc w:val="both"/>
        <w:rPr>
          <w:lang w:val="fr-FR"/>
        </w:rPr>
      </w:pPr>
      <w:r>
        <w:rPr>
          <w:lang w:val="fr-FR"/>
        </w:rPr>
        <w:t xml:space="preserve"> </w:t>
      </w:r>
      <w:r w:rsidR="006A3DA1">
        <w:rPr>
          <w:lang w:val="fr-FR"/>
        </w:rPr>
        <w:t xml:space="preserve"> </w:t>
      </w:r>
    </w:p>
    <w:p w14:paraId="3CEC7763" w14:textId="77777777" w:rsidR="00EE1087" w:rsidRDefault="00EE1087">
      <w:pPr>
        <w:rPr>
          <w:b/>
          <w:bCs/>
          <w:u w:val="single"/>
          <w:lang w:val="fr-FR"/>
        </w:rPr>
      </w:pPr>
      <w:r>
        <w:rPr>
          <w:b/>
          <w:bCs/>
          <w:u w:val="single"/>
          <w:lang w:val="fr-FR"/>
        </w:rPr>
        <w:br w:type="page"/>
      </w:r>
    </w:p>
    <w:p w14:paraId="49C17583" w14:textId="6DFE0524" w:rsidR="006A3DA1" w:rsidRPr="00EE1087" w:rsidRDefault="006A3DA1" w:rsidP="00EE1087">
      <w:pPr>
        <w:pStyle w:val="ListParagraph"/>
        <w:numPr>
          <w:ilvl w:val="0"/>
          <w:numId w:val="15"/>
        </w:numPr>
        <w:rPr>
          <w:b/>
          <w:bCs/>
          <w:u w:val="single"/>
          <w:lang w:val="fr-FR"/>
        </w:rPr>
      </w:pPr>
      <w:r w:rsidRPr="00EE1087">
        <w:rPr>
          <w:b/>
          <w:bCs/>
          <w:u w:val="single"/>
          <w:lang w:val="fr-FR"/>
        </w:rPr>
        <w:lastRenderedPageBreak/>
        <w:t>Contexte</w:t>
      </w:r>
    </w:p>
    <w:p w14:paraId="57217DB2" w14:textId="50A1DBE3" w:rsidR="004868EC" w:rsidRDefault="004868EC" w:rsidP="004868EC">
      <w:pPr>
        <w:jc w:val="both"/>
        <w:rPr>
          <w:lang w:val="fr-BE"/>
        </w:rPr>
      </w:pPr>
      <w:bookmarkStart w:id="3" w:name="_Hlk198892069"/>
      <w:r w:rsidRPr="004868EC">
        <w:rPr>
          <w:lang w:val="fr-BE"/>
        </w:rPr>
        <w:t xml:space="preserve">En 2024, 18,2% de la population belge était exposée au </w:t>
      </w:r>
      <w:r w:rsidRPr="004868EC">
        <w:rPr>
          <w:b/>
          <w:bCs/>
          <w:lang w:val="fr-BE"/>
        </w:rPr>
        <w:t>risque de pauvreté ou d’exclusion sociale (AROPE)</w:t>
      </w:r>
      <w:r w:rsidRPr="004868EC">
        <w:rPr>
          <w:lang w:val="fr-BE"/>
        </w:rPr>
        <w:t xml:space="preserve">, soit un peu plus de 2,1 millions de personnes. Le </w:t>
      </w:r>
      <w:r w:rsidRPr="004868EC">
        <w:rPr>
          <w:b/>
          <w:bCs/>
          <w:lang w:val="fr-BE"/>
        </w:rPr>
        <w:t>risque de pauvreté</w:t>
      </w:r>
      <w:r w:rsidRPr="004104E8">
        <w:rPr>
          <w:rStyle w:val="FootnoteReference"/>
        </w:rPr>
        <w:footnoteReference w:id="1"/>
      </w:r>
      <w:r w:rsidRPr="004868EC">
        <w:rPr>
          <w:b/>
          <w:bCs/>
          <w:lang w:val="fr-BE"/>
        </w:rPr>
        <w:t> (AROP ou pauvreté monétaire)</w:t>
      </w:r>
      <w:r w:rsidRPr="004868EC">
        <w:rPr>
          <w:lang w:val="fr-BE"/>
        </w:rPr>
        <w:t xml:space="preserve"> s’établissait quant à lui à 11,5% de la population</w:t>
      </w:r>
      <w:r>
        <w:rPr>
          <w:lang w:val="fr-BE"/>
        </w:rPr>
        <w:t>.</w:t>
      </w:r>
    </w:p>
    <w:p w14:paraId="53A8C609" w14:textId="77777777" w:rsidR="004868EC" w:rsidRPr="004868EC" w:rsidRDefault="004868EC" w:rsidP="004868EC">
      <w:pPr>
        <w:spacing w:after="0" w:line="240" w:lineRule="auto"/>
        <w:jc w:val="both"/>
        <w:rPr>
          <w:lang w:val="fr-BE"/>
        </w:rPr>
      </w:pPr>
      <w:r w:rsidRPr="004868EC">
        <w:rPr>
          <w:rFonts w:eastAsia="Times New Roman"/>
          <w:lang w:val="fr-BE"/>
        </w:rPr>
        <w:t xml:space="preserve">En Belgique en 2024, 6,4% des travailleurs étaient exposés au risque </w:t>
      </w:r>
      <w:r w:rsidRPr="004868EC">
        <w:rPr>
          <w:lang w:val="fr-BE"/>
        </w:rPr>
        <w:t xml:space="preserve">de pauvreté ou d’exclusion sociale </w:t>
      </w:r>
      <w:r w:rsidRPr="004868EC">
        <w:rPr>
          <w:rFonts w:eastAsia="Times New Roman"/>
          <w:lang w:val="fr-BE"/>
        </w:rPr>
        <w:t>(Sources : Statbel et le Baromètre de la pauvreté)</w:t>
      </w:r>
      <w:r w:rsidRPr="004868EC">
        <w:rPr>
          <w:lang w:val="fr-BE"/>
        </w:rPr>
        <w:t>.</w:t>
      </w:r>
    </w:p>
    <w:p w14:paraId="0CC236EB" w14:textId="77777777" w:rsidR="004868EC" w:rsidRPr="004868EC" w:rsidRDefault="004868EC" w:rsidP="004868EC">
      <w:pPr>
        <w:spacing w:after="0" w:line="240" w:lineRule="auto"/>
        <w:jc w:val="both"/>
        <w:rPr>
          <w:lang w:val="fr-BE"/>
        </w:rPr>
      </w:pPr>
    </w:p>
    <w:tbl>
      <w:tblPr>
        <w:tblW w:w="4640" w:type="dxa"/>
        <w:jc w:val="center"/>
        <w:tblCellMar>
          <w:left w:w="70" w:type="dxa"/>
          <w:right w:w="70" w:type="dxa"/>
        </w:tblCellMar>
        <w:tblLook w:val="04A0" w:firstRow="1" w:lastRow="0" w:firstColumn="1" w:lastColumn="0" w:noHBand="0" w:noVBand="1"/>
      </w:tblPr>
      <w:tblGrid>
        <w:gridCol w:w="2202"/>
        <w:gridCol w:w="1340"/>
        <w:gridCol w:w="1098"/>
      </w:tblGrid>
      <w:tr w:rsidR="004868EC" w:rsidRPr="006A0E61" w14:paraId="46A0960B" w14:textId="77777777" w:rsidTr="00EB5B25">
        <w:trPr>
          <w:trHeight w:val="300"/>
          <w:jc w:val="center"/>
        </w:trPr>
        <w:tc>
          <w:tcPr>
            <w:tcW w:w="4640" w:type="dxa"/>
            <w:gridSpan w:val="3"/>
            <w:tcBorders>
              <w:top w:val="single" w:sz="4" w:space="0" w:color="B0B7BB"/>
              <w:left w:val="single" w:sz="4" w:space="0" w:color="B0B7BB"/>
              <w:bottom w:val="single" w:sz="4" w:space="0" w:color="B0B7BB"/>
              <w:right w:val="single" w:sz="4" w:space="0" w:color="B0B7BB"/>
            </w:tcBorders>
            <w:shd w:val="clear" w:color="000000" w:fill="FFFFFF"/>
            <w:noWrap/>
            <w:vAlign w:val="center"/>
            <w:hideMark/>
          </w:tcPr>
          <w:p w14:paraId="11C17B37" w14:textId="77777777" w:rsidR="004868EC" w:rsidRPr="006A0E61" w:rsidRDefault="004868EC" w:rsidP="00EB5B25">
            <w:pPr>
              <w:spacing w:after="0" w:line="240" w:lineRule="auto"/>
              <w:jc w:val="center"/>
              <w:rPr>
                <w:rFonts w:ascii="Arial" w:eastAsia="Times New Roman" w:hAnsi="Arial" w:cs="Arial"/>
                <w:b/>
                <w:bCs/>
                <w:color w:val="000000"/>
                <w:sz w:val="20"/>
                <w:szCs w:val="20"/>
                <w:lang w:eastAsia="fr-BE"/>
              </w:rPr>
            </w:pPr>
            <w:bookmarkStart w:id="4" w:name="_Hlk199846315"/>
            <w:r w:rsidRPr="006A0E61">
              <w:rPr>
                <w:rFonts w:ascii="Arial" w:eastAsia="Times New Roman" w:hAnsi="Arial" w:cs="Arial"/>
                <w:b/>
                <w:bCs/>
                <w:color w:val="000000"/>
                <w:sz w:val="20"/>
                <w:szCs w:val="20"/>
                <w:lang w:eastAsia="fr-BE"/>
              </w:rPr>
              <w:t>Statut professionnel (auto-défini)</w:t>
            </w:r>
          </w:p>
        </w:tc>
      </w:tr>
      <w:tr w:rsidR="004868EC" w:rsidRPr="006A0E61" w14:paraId="11D170EE" w14:textId="77777777" w:rsidTr="00EB5B25">
        <w:trPr>
          <w:trHeight w:val="300"/>
          <w:jc w:val="center"/>
        </w:trPr>
        <w:tc>
          <w:tcPr>
            <w:tcW w:w="2202" w:type="dxa"/>
            <w:tcBorders>
              <w:top w:val="nil"/>
              <w:left w:val="single" w:sz="4" w:space="0" w:color="B0B7BB"/>
              <w:bottom w:val="single" w:sz="4" w:space="0" w:color="B0B7BB"/>
              <w:right w:val="single" w:sz="4" w:space="0" w:color="B0B7BB"/>
            </w:tcBorders>
            <w:shd w:val="clear" w:color="000000" w:fill="FFFFFF"/>
            <w:noWrap/>
            <w:vAlign w:val="center"/>
            <w:hideMark/>
          </w:tcPr>
          <w:p w14:paraId="19A8EC28" w14:textId="77777777" w:rsidR="004868EC" w:rsidRPr="006A0E61" w:rsidRDefault="004868EC" w:rsidP="00EB5B25">
            <w:pPr>
              <w:spacing w:after="0" w:line="240" w:lineRule="auto"/>
              <w:rPr>
                <w:rFonts w:ascii="Arial" w:eastAsia="Times New Roman" w:hAnsi="Arial" w:cs="Arial"/>
                <w:b/>
                <w:bCs/>
                <w:color w:val="000000"/>
                <w:sz w:val="20"/>
                <w:szCs w:val="20"/>
                <w:lang w:eastAsia="fr-BE"/>
              </w:rPr>
            </w:pPr>
            <w:r w:rsidRPr="006A0E61">
              <w:rPr>
                <w:rFonts w:ascii="Arial" w:eastAsia="Times New Roman" w:hAnsi="Arial" w:cs="Arial"/>
                <w:b/>
                <w:bCs/>
                <w:color w:val="000000"/>
                <w:sz w:val="20"/>
                <w:szCs w:val="20"/>
                <w:lang w:eastAsia="fr-BE"/>
              </w:rPr>
              <w:t> </w:t>
            </w:r>
          </w:p>
        </w:tc>
        <w:tc>
          <w:tcPr>
            <w:tcW w:w="1340" w:type="dxa"/>
            <w:tcBorders>
              <w:top w:val="nil"/>
              <w:left w:val="nil"/>
              <w:bottom w:val="single" w:sz="4" w:space="0" w:color="B0B7BB"/>
              <w:right w:val="nil"/>
            </w:tcBorders>
            <w:shd w:val="clear" w:color="000000" w:fill="FFFFFF"/>
            <w:noWrap/>
            <w:vAlign w:val="center"/>
            <w:hideMark/>
          </w:tcPr>
          <w:p w14:paraId="00786AF0" w14:textId="77777777" w:rsidR="004868EC" w:rsidRPr="006A0E61" w:rsidRDefault="004868EC" w:rsidP="00EB5B25">
            <w:pPr>
              <w:spacing w:after="0" w:line="240" w:lineRule="auto"/>
              <w:jc w:val="center"/>
              <w:rPr>
                <w:rFonts w:ascii="Arial" w:eastAsia="Times New Roman" w:hAnsi="Arial" w:cs="Arial"/>
                <w:b/>
                <w:bCs/>
                <w:color w:val="000000"/>
                <w:sz w:val="20"/>
                <w:szCs w:val="20"/>
                <w:lang w:eastAsia="fr-BE"/>
              </w:rPr>
            </w:pPr>
            <w:r w:rsidRPr="006A0E61">
              <w:rPr>
                <w:rFonts w:ascii="Arial" w:eastAsia="Times New Roman" w:hAnsi="Arial" w:cs="Arial"/>
                <w:b/>
                <w:bCs/>
                <w:color w:val="000000"/>
                <w:sz w:val="20"/>
                <w:szCs w:val="20"/>
                <w:lang w:eastAsia="fr-BE"/>
              </w:rPr>
              <w:t>AROPE</w:t>
            </w:r>
          </w:p>
        </w:tc>
        <w:tc>
          <w:tcPr>
            <w:tcW w:w="1098" w:type="dxa"/>
            <w:tcBorders>
              <w:top w:val="nil"/>
              <w:left w:val="single" w:sz="4" w:space="0" w:color="B0B7BB"/>
              <w:bottom w:val="single" w:sz="4" w:space="0" w:color="B0B7BB"/>
              <w:right w:val="nil"/>
            </w:tcBorders>
            <w:shd w:val="clear" w:color="000000" w:fill="FFFFFF"/>
            <w:noWrap/>
            <w:vAlign w:val="center"/>
            <w:hideMark/>
          </w:tcPr>
          <w:p w14:paraId="26AB39B4" w14:textId="77777777" w:rsidR="004868EC" w:rsidRPr="006A0E61" w:rsidRDefault="004868EC" w:rsidP="00EB5B25">
            <w:pPr>
              <w:spacing w:after="0" w:line="240" w:lineRule="auto"/>
              <w:jc w:val="center"/>
              <w:rPr>
                <w:rFonts w:ascii="Arial" w:eastAsia="Times New Roman" w:hAnsi="Arial" w:cs="Arial"/>
                <w:b/>
                <w:bCs/>
                <w:color w:val="000000"/>
                <w:sz w:val="20"/>
                <w:szCs w:val="20"/>
                <w:lang w:eastAsia="fr-BE"/>
              </w:rPr>
            </w:pPr>
            <w:r w:rsidRPr="006A0E61">
              <w:rPr>
                <w:rFonts w:ascii="Arial" w:eastAsia="Times New Roman" w:hAnsi="Arial" w:cs="Arial"/>
                <w:b/>
                <w:bCs/>
                <w:color w:val="000000"/>
                <w:sz w:val="20"/>
                <w:szCs w:val="20"/>
                <w:lang w:eastAsia="fr-BE"/>
              </w:rPr>
              <w:t>AROP</w:t>
            </w:r>
          </w:p>
        </w:tc>
      </w:tr>
      <w:tr w:rsidR="004868EC" w:rsidRPr="006A0E61" w14:paraId="53F0B745" w14:textId="77777777" w:rsidTr="00EB5B25">
        <w:trPr>
          <w:trHeight w:val="300"/>
          <w:jc w:val="center"/>
        </w:trPr>
        <w:tc>
          <w:tcPr>
            <w:tcW w:w="2202" w:type="dxa"/>
            <w:tcBorders>
              <w:top w:val="nil"/>
              <w:left w:val="single" w:sz="4" w:space="0" w:color="B0B7BB"/>
              <w:bottom w:val="single" w:sz="4" w:space="0" w:color="B0B7BB"/>
              <w:right w:val="single" w:sz="4" w:space="0" w:color="B0B7BB"/>
            </w:tcBorders>
            <w:shd w:val="clear" w:color="000000" w:fill="FFFFFF"/>
            <w:noWrap/>
            <w:vAlign w:val="center"/>
            <w:hideMark/>
          </w:tcPr>
          <w:p w14:paraId="2AE624D4" w14:textId="77777777" w:rsidR="004868EC" w:rsidRPr="006A0E61" w:rsidRDefault="004868EC" w:rsidP="00EB5B25">
            <w:pPr>
              <w:spacing w:after="0" w:line="240" w:lineRule="auto"/>
              <w:rPr>
                <w:rFonts w:ascii="Arial" w:eastAsia="Times New Roman" w:hAnsi="Arial" w:cs="Arial"/>
                <w:b/>
                <w:bCs/>
                <w:color w:val="000000"/>
                <w:sz w:val="20"/>
                <w:szCs w:val="20"/>
                <w:lang w:eastAsia="fr-BE"/>
              </w:rPr>
            </w:pPr>
            <w:r w:rsidRPr="006A0E61">
              <w:rPr>
                <w:rFonts w:ascii="Arial" w:eastAsia="Times New Roman" w:hAnsi="Arial" w:cs="Arial"/>
                <w:b/>
                <w:bCs/>
                <w:color w:val="000000"/>
                <w:sz w:val="20"/>
                <w:szCs w:val="20"/>
                <w:lang w:eastAsia="fr-BE"/>
              </w:rPr>
              <w:t>Travailleur</w:t>
            </w:r>
          </w:p>
        </w:tc>
        <w:tc>
          <w:tcPr>
            <w:tcW w:w="1340" w:type="dxa"/>
            <w:tcBorders>
              <w:top w:val="single" w:sz="4" w:space="0" w:color="C1C1C1"/>
              <w:left w:val="single" w:sz="4" w:space="0" w:color="C1C1C1"/>
              <w:bottom w:val="single" w:sz="4" w:space="0" w:color="C1C1C1"/>
              <w:right w:val="single" w:sz="4" w:space="0" w:color="C1C1C1"/>
            </w:tcBorders>
            <w:shd w:val="clear" w:color="000000" w:fill="FFFFFF"/>
            <w:noWrap/>
            <w:vAlign w:val="bottom"/>
            <w:hideMark/>
          </w:tcPr>
          <w:p w14:paraId="5A1FAA59" w14:textId="77777777" w:rsidR="004868EC" w:rsidRPr="006A0E61" w:rsidRDefault="004868EC" w:rsidP="00EB5B25">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6,4%</w:t>
            </w:r>
          </w:p>
        </w:tc>
        <w:tc>
          <w:tcPr>
            <w:tcW w:w="1098" w:type="dxa"/>
            <w:tcBorders>
              <w:top w:val="single" w:sz="4" w:space="0" w:color="C1C1C1"/>
              <w:left w:val="nil"/>
              <w:bottom w:val="single" w:sz="4" w:space="0" w:color="C1C1C1"/>
              <w:right w:val="single" w:sz="4" w:space="0" w:color="C1C1C1"/>
            </w:tcBorders>
            <w:shd w:val="clear" w:color="000000" w:fill="FFFFFF"/>
            <w:noWrap/>
            <w:vAlign w:val="bottom"/>
            <w:hideMark/>
          </w:tcPr>
          <w:p w14:paraId="0BD70BEA" w14:textId="77777777" w:rsidR="004868EC" w:rsidRPr="006A0E61" w:rsidRDefault="004868EC" w:rsidP="00EB5B25">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4,3%</w:t>
            </w:r>
          </w:p>
        </w:tc>
      </w:tr>
      <w:tr w:rsidR="004868EC" w:rsidRPr="006A0E61" w14:paraId="1BA1A9CA" w14:textId="77777777" w:rsidTr="00EB5B25">
        <w:trPr>
          <w:trHeight w:val="300"/>
          <w:jc w:val="center"/>
        </w:trPr>
        <w:tc>
          <w:tcPr>
            <w:tcW w:w="2202" w:type="dxa"/>
            <w:tcBorders>
              <w:top w:val="nil"/>
              <w:left w:val="single" w:sz="4" w:space="0" w:color="B0B7BB"/>
              <w:bottom w:val="single" w:sz="4" w:space="0" w:color="B0B7BB"/>
              <w:right w:val="single" w:sz="4" w:space="0" w:color="B0B7BB"/>
            </w:tcBorders>
            <w:shd w:val="clear" w:color="000000" w:fill="FFFFFF"/>
            <w:noWrap/>
            <w:vAlign w:val="center"/>
            <w:hideMark/>
          </w:tcPr>
          <w:p w14:paraId="54B3B2CC" w14:textId="77777777" w:rsidR="004868EC" w:rsidRPr="006A0E61" w:rsidRDefault="004868EC" w:rsidP="00EB5B25">
            <w:pPr>
              <w:spacing w:after="0" w:line="240" w:lineRule="auto"/>
              <w:rPr>
                <w:rFonts w:ascii="Arial" w:eastAsia="Times New Roman" w:hAnsi="Arial" w:cs="Arial"/>
                <w:b/>
                <w:bCs/>
                <w:color w:val="000000"/>
                <w:sz w:val="20"/>
                <w:szCs w:val="20"/>
                <w:lang w:eastAsia="fr-BE"/>
              </w:rPr>
            </w:pPr>
            <w:r w:rsidRPr="006A0E61">
              <w:rPr>
                <w:rFonts w:ascii="Arial" w:eastAsia="Times New Roman" w:hAnsi="Arial" w:cs="Arial"/>
                <w:b/>
                <w:bCs/>
                <w:color w:val="000000"/>
                <w:sz w:val="20"/>
                <w:szCs w:val="20"/>
                <w:lang w:eastAsia="fr-BE"/>
              </w:rPr>
              <w:t>Indépendant</w:t>
            </w:r>
          </w:p>
        </w:tc>
        <w:tc>
          <w:tcPr>
            <w:tcW w:w="1340" w:type="dxa"/>
            <w:tcBorders>
              <w:top w:val="nil"/>
              <w:left w:val="single" w:sz="4" w:space="0" w:color="C1C1C1"/>
              <w:bottom w:val="single" w:sz="4" w:space="0" w:color="C1C1C1"/>
              <w:right w:val="single" w:sz="4" w:space="0" w:color="C1C1C1"/>
            </w:tcBorders>
            <w:shd w:val="clear" w:color="000000" w:fill="FFFFFF"/>
            <w:noWrap/>
            <w:vAlign w:val="bottom"/>
            <w:hideMark/>
          </w:tcPr>
          <w:p w14:paraId="0CDF290F" w14:textId="77777777" w:rsidR="004868EC" w:rsidRPr="006A0E61" w:rsidRDefault="004868EC" w:rsidP="00EB5B25">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9,8%</w:t>
            </w:r>
          </w:p>
        </w:tc>
        <w:tc>
          <w:tcPr>
            <w:tcW w:w="1098" w:type="dxa"/>
            <w:tcBorders>
              <w:top w:val="nil"/>
              <w:left w:val="nil"/>
              <w:bottom w:val="single" w:sz="4" w:space="0" w:color="C1C1C1"/>
              <w:right w:val="single" w:sz="4" w:space="0" w:color="C1C1C1"/>
            </w:tcBorders>
            <w:shd w:val="clear" w:color="000000" w:fill="FFFFFF"/>
            <w:noWrap/>
            <w:vAlign w:val="bottom"/>
            <w:hideMark/>
          </w:tcPr>
          <w:p w14:paraId="6836DBF8" w14:textId="77777777" w:rsidR="004868EC" w:rsidRPr="006A0E61" w:rsidRDefault="004868EC" w:rsidP="00EB5B25">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9,1%</w:t>
            </w:r>
          </w:p>
        </w:tc>
      </w:tr>
      <w:tr w:rsidR="004868EC" w:rsidRPr="006A0E61" w14:paraId="545C0470" w14:textId="77777777" w:rsidTr="00EB5B25">
        <w:trPr>
          <w:trHeight w:val="300"/>
          <w:jc w:val="center"/>
        </w:trPr>
        <w:tc>
          <w:tcPr>
            <w:tcW w:w="2202" w:type="dxa"/>
            <w:tcBorders>
              <w:top w:val="nil"/>
              <w:left w:val="single" w:sz="4" w:space="0" w:color="B0B7BB"/>
              <w:bottom w:val="single" w:sz="4" w:space="0" w:color="B0B7BB"/>
              <w:right w:val="single" w:sz="4" w:space="0" w:color="B0B7BB"/>
            </w:tcBorders>
            <w:shd w:val="clear" w:color="000000" w:fill="FFFFFF"/>
            <w:noWrap/>
            <w:vAlign w:val="center"/>
            <w:hideMark/>
          </w:tcPr>
          <w:p w14:paraId="23FB650E" w14:textId="77777777" w:rsidR="004868EC" w:rsidRPr="006A0E61" w:rsidRDefault="004868EC" w:rsidP="00EB5B25">
            <w:pPr>
              <w:spacing w:after="0" w:line="240" w:lineRule="auto"/>
              <w:rPr>
                <w:rFonts w:ascii="Arial" w:eastAsia="Times New Roman" w:hAnsi="Arial" w:cs="Arial"/>
                <w:b/>
                <w:bCs/>
                <w:color w:val="000000"/>
                <w:sz w:val="20"/>
                <w:szCs w:val="20"/>
                <w:lang w:eastAsia="fr-BE"/>
              </w:rPr>
            </w:pPr>
            <w:r w:rsidRPr="006A0E61">
              <w:rPr>
                <w:rFonts w:ascii="Arial" w:eastAsia="Times New Roman" w:hAnsi="Arial" w:cs="Arial"/>
                <w:b/>
                <w:bCs/>
                <w:color w:val="000000"/>
                <w:sz w:val="20"/>
                <w:szCs w:val="20"/>
                <w:lang w:eastAsia="fr-BE"/>
              </w:rPr>
              <w:t>Salarié</w:t>
            </w:r>
          </w:p>
        </w:tc>
        <w:tc>
          <w:tcPr>
            <w:tcW w:w="1340" w:type="dxa"/>
            <w:tcBorders>
              <w:top w:val="nil"/>
              <w:left w:val="single" w:sz="4" w:space="0" w:color="C1C1C1"/>
              <w:bottom w:val="single" w:sz="4" w:space="0" w:color="C1C1C1"/>
              <w:right w:val="single" w:sz="4" w:space="0" w:color="C1C1C1"/>
            </w:tcBorders>
            <w:shd w:val="clear" w:color="000000" w:fill="FFFFFF"/>
            <w:noWrap/>
            <w:vAlign w:val="bottom"/>
            <w:hideMark/>
          </w:tcPr>
          <w:p w14:paraId="7E60862D" w14:textId="77777777" w:rsidR="004868EC" w:rsidRPr="006A0E61" w:rsidRDefault="004868EC" w:rsidP="00EB5B25">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5,7%</w:t>
            </w:r>
          </w:p>
        </w:tc>
        <w:tc>
          <w:tcPr>
            <w:tcW w:w="1098" w:type="dxa"/>
            <w:tcBorders>
              <w:top w:val="nil"/>
              <w:left w:val="nil"/>
              <w:bottom w:val="single" w:sz="4" w:space="0" w:color="C1C1C1"/>
              <w:right w:val="single" w:sz="4" w:space="0" w:color="C1C1C1"/>
            </w:tcBorders>
            <w:shd w:val="clear" w:color="000000" w:fill="FFFFFF"/>
            <w:noWrap/>
            <w:vAlign w:val="bottom"/>
            <w:hideMark/>
          </w:tcPr>
          <w:p w14:paraId="5808601C" w14:textId="77777777" w:rsidR="004868EC" w:rsidRPr="006A0E61" w:rsidRDefault="004868EC" w:rsidP="00EB5B25">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3,3%</w:t>
            </w:r>
          </w:p>
        </w:tc>
      </w:tr>
      <w:tr w:rsidR="004868EC" w:rsidRPr="006A0E61" w14:paraId="36077471" w14:textId="77777777" w:rsidTr="00EB5B25">
        <w:trPr>
          <w:trHeight w:val="300"/>
          <w:jc w:val="center"/>
        </w:trPr>
        <w:tc>
          <w:tcPr>
            <w:tcW w:w="2202" w:type="dxa"/>
            <w:tcBorders>
              <w:top w:val="nil"/>
              <w:left w:val="single" w:sz="4" w:space="0" w:color="B0B7BB"/>
              <w:bottom w:val="single" w:sz="4" w:space="0" w:color="B0B7BB"/>
              <w:right w:val="single" w:sz="4" w:space="0" w:color="B0B7BB"/>
            </w:tcBorders>
            <w:shd w:val="clear" w:color="000000" w:fill="FFFFFF"/>
            <w:noWrap/>
            <w:vAlign w:val="center"/>
            <w:hideMark/>
          </w:tcPr>
          <w:p w14:paraId="69231699" w14:textId="77777777" w:rsidR="004868EC" w:rsidRPr="006A0E61" w:rsidRDefault="004868EC" w:rsidP="00EB5B25">
            <w:pPr>
              <w:spacing w:after="0" w:line="240" w:lineRule="auto"/>
              <w:rPr>
                <w:rFonts w:ascii="Arial" w:eastAsia="Times New Roman" w:hAnsi="Arial" w:cs="Arial"/>
                <w:b/>
                <w:bCs/>
                <w:color w:val="000000"/>
                <w:sz w:val="20"/>
                <w:szCs w:val="20"/>
                <w:lang w:eastAsia="fr-BE"/>
              </w:rPr>
            </w:pPr>
            <w:r w:rsidRPr="006A0E61">
              <w:rPr>
                <w:rFonts w:ascii="Arial" w:eastAsia="Times New Roman" w:hAnsi="Arial" w:cs="Arial"/>
                <w:b/>
                <w:bCs/>
                <w:color w:val="000000"/>
                <w:sz w:val="20"/>
                <w:szCs w:val="20"/>
                <w:lang w:eastAsia="fr-BE"/>
              </w:rPr>
              <w:t>Chômeur</w:t>
            </w:r>
          </w:p>
        </w:tc>
        <w:tc>
          <w:tcPr>
            <w:tcW w:w="1340" w:type="dxa"/>
            <w:tcBorders>
              <w:top w:val="nil"/>
              <w:left w:val="single" w:sz="4" w:space="0" w:color="C1C1C1"/>
              <w:bottom w:val="single" w:sz="4" w:space="0" w:color="C1C1C1"/>
              <w:right w:val="single" w:sz="4" w:space="0" w:color="C1C1C1"/>
            </w:tcBorders>
            <w:shd w:val="clear" w:color="000000" w:fill="FFFFFF"/>
            <w:noWrap/>
            <w:vAlign w:val="bottom"/>
            <w:hideMark/>
          </w:tcPr>
          <w:p w14:paraId="0226EA97" w14:textId="77777777" w:rsidR="004868EC" w:rsidRPr="006A0E61" w:rsidRDefault="004868EC" w:rsidP="00EB5B25">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69,0%</w:t>
            </w:r>
          </w:p>
        </w:tc>
        <w:tc>
          <w:tcPr>
            <w:tcW w:w="1098" w:type="dxa"/>
            <w:tcBorders>
              <w:top w:val="nil"/>
              <w:left w:val="nil"/>
              <w:bottom w:val="single" w:sz="4" w:space="0" w:color="C1C1C1"/>
              <w:right w:val="single" w:sz="4" w:space="0" w:color="C1C1C1"/>
            </w:tcBorders>
            <w:shd w:val="clear" w:color="000000" w:fill="FFFFFF"/>
            <w:noWrap/>
            <w:vAlign w:val="bottom"/>
            <w:hideMark/>
          </w:tcPr>
          <w:p w14:paraId="2A0251C3" w14:textId="77777777" w:rsidR="004868EC" w:rsidRPr="006A0E61" w:rsidRDefault="004868EC" w:rsidP="00EB5B25">
            <w:pPr>
              <w:spacing w:after="0" w:line="240" w:lineRule="auto"/>
              <w:jc w:val="center"/>
              <w:rPr>
                <w:rFonts w:ascii="Arial" w:eastAsia="Times New Roman" w:hAnsi="Arial" w:cs="Arial"/>
                <w:color w:val="000000"/>
                <w:sz w:val="19"/>
                <w:szCs w:val="19"/>
                <w:lang w:eastAsia="fr-BE"/>
              </w:rPr>
            </w:pPr>
            <w:r w:rsidRPr="006A0E61">
              <w:rPr>
                <w:rFonts w:ascii="Arial" w:eastAsia="Times New Roman" w:hAnsi="Arial" w:cs="Arial"/>
                <w:color w:val="000000"/>
                <w:sz w:val="19"/>
                <w:szCs w:val="19"/>
                <w:lang w:eastAsia="fr-BE"/>
              </w:rPr>
              <w:t>43,0%</w:t>
            </w:r>
          </w:p>
        </w:tc>
      </w:tr>
      <w:bookmarkEnd w:id="4"/>
    </w:tbl>
    <w:p w14:paraId="570AF249" w14:textId="77777777" w:rsidR="004868EC" w:rsidRPr="00EE55FE" w:rsidRDefault="004868EC" w:rsidP="004868EC">
      <w:pPr>
        <w:spacing w:after="0" w:line="240" w:lineRule="auto"/>
        <w:rPr>
          <w:rFonts w:eastAsia="Times New Roman"/>
        </w:rPr>
      </w:pPr>
    </w:p>
    <w:p w14:paraId="785C6303" w14:textId="77777777" w:rsidR="004868EC" w:rsidRDefault="004868EC" w:rsidP="004868EC">
      <w:pPr>
        <w:spacing w:after="0" w:line="240" w:lineRule="auto"/>
        <w:jc w:val="both"/>
        <w:rPr>
          <w:rFonts w:eastAsia="Times New Roman"/>
          <w:lang w:val="fr-BE"/>
        </w:rPr>
      </w:pPr>
      <w:r w:rsidRPr="004868EC">
        <w:rPr>
          <w:rFonts w:eastAsia="Times New Roman"/>
          <w:lang w:val="fr-BE"/>
        </w:rPr>
        <w:t xml:space="preserve">11,3% des personnes vivaient dans des ménages </w:t>
      </w:r>
      <w:r w:rsidRPr="004868EC">
        <w:rPr>
          <w:rFonts w:eastAsia="Times New Roman"/>
          <w:b/>
          <w:bCs/>
          <w:lang w:val="fr-BE"/>
        </w:rPr>
        <w:t>à très faible intensité de travail</w:t>
      </w:r>
      <w:r w:rsidRPr="004868EC">
        <w:rPr>
          <w:rFonts w:eastAsia="Times New Roman"/>
          <w:lang w:val="fr-BE"/>
        </w:rPr>
        <w:t>. Parmi celles-ci plus de la moitié (50,9%) étaient en risque de pauvreté (Sources : Statbel et le Baromètre de la pauvreté).</w:t>
      </w:r>
    </w:p>
    <w:p w14:paraId="0B8FCD84" w14:textId="77777777" w:rsidR="004868EC" w:rsidRDefault="004868EC" w:rsidP="004868EC">
      <w:pPr>
        <w:spacing w:before="240" w:after="0" w:line="240" w:lineRule="auto"/>
        <w:jc w:val="both"/>
        <w:rPr>
          <w:rFonts w:eastAsia="Times New Roman"/>
          <w:lang w:val="fr-BE"/>
        </w:rPr>
      </w:pPr>
      <w:r w:rsidRPr="004868EC">
        <w:rPr>
          <w:rFonts w:eastAsia="Times New Roman"/>
          <w:lang w:val="fr-BE"/>
        </w:rPr>
        <w:t>Parmi les 207.246 bénéficiaires RI (hors étudiants</w:t>
      </w:r>
      <w:r>
        <w:rPr>
          <w:rStyle w:val="FootnoteReference"/>
          <w:rFonts w:eastAsia="Times New Roman"/>
        </w:rPr>
        <w:footnoteReference w:id="2"/>
      </w:r>
      <w:r w:rsidRPr="004868EC">
        <w:rPr>
          <w:rFonts w:eastAsia="Times New Roman"/>
          <w:lang w:val="fr-BE"/>
        </w:rPr>
        <w:t>) en 2024, 19,4% ont perçu des revenus professionnels, 3,7% ont perçu des allocations de chômage et 1,9% ont cumulés revenus professionnels et allocations de chômage (Source SPP IS).</w:t>
      </w:r>
    </w:p>
    <w:p w14:paraId="6FD88AA6" w14:textId="603EFD5A" w:rsidR="004868EC" w:rsidRDefault="004868EC" w:rsidP="004868EC">
      <w:pPr>
        <w:spacing w:before="240" w:after="0" w:line="240" w:lineRule="auto"/>
        <w:jc w:val="both"/>
        <w:rPr>
          <w:rFonts w:eastAsia="Times New Roman"/>
          <w:lang w:val="fr-BE"/>
        </w:rPr>
      </w:pPr>
      <w:r w:rsidRPr="004868EC">
        <w:rPr>
          <w:rFonts w:eastAsia="Times New Roman"/>
          <w:lang w:val="fr-BE"/>
        </w:rPr>
        <w:t>Le rapport du nombre de bénéficiaires d’une mise au travail au nombre de bénéficiaires RI ou ERI était de 1 pour 12 en 2024 (Source SPP IS).</w:t>
      </w:r>
    </w:p>
    <w:p w14:paraId="6E06B4C0" w14:textId="0E9CD26A" w:rsidR="00A64ACA" w:rsidRDefault="00837E32" w:rsidP="004868EC">
      <w:pPr>
        <w:spacing w:before="240" w:after="0" w:line="240" w:lineRule="auto"/>
        <w:jc w:val="both"/>
        <w:rPr>
          <w:rFonts w:eastAsia="Times New Roman"/>
          <w:noProof/>
          <w:lang w:val="fr-BE"/>
        </w:rPr>
      </w:pPr>
      <w:r w:rsidRPr="00837E32">
        <w:rPr>
          <w:rFonts w:eastAsia="Times New Roman"/>
          <w:lang w:val="fr-BE"/>
        </w:rPr>
        <w:t>La proportion de jeunes ni scolarisés, ni en emploi, ni en formation a connu une baisse significative, passant de 17,2 % en 2000 à 12 % en 2008</w:t>
      </w:r>
      <w:r>
        <w:rPr>
          <w:rFonts w:eastAsia="Times New Roman"/>
          <w:lang w:val="fr-BE"/>
        </w:rPr>
        <w:t xml:space="preserve"> (crise économique et financière)</w:t>
      </w:r>
      <w:r w:rsidRPr="00837E32">
        <w:rPr>
          <w:rFonts w:eastAsia="Times New Roman"/>
          <w:lang w:val="fr-BE"/>
        </w:rPr>
        <w:t xml:space="preserve"> avant de remonter à 14,9 % en 2013. Depuis, elle a repris sa trajectoire descendante pour atteindre 9,6 % en 2023. Sur l’ensemble de la période 2000-2023, la tendance reste globalement à la baisse, avec un taux de décroissance annuel moyen de 2,5 %. Si cette dynamique se poursuit, l’objectif de développement durable fixé pour 2030 — soit ramener ce taux à 8,6 % — devrait être atteint.</w:t>
      </w:r>
      <w:r w:rsidR="00A64ACA" w:rsidRPr="00A64ACA">
        <w:rPr>
          <w:rFonts w:eastAsia="Times New Roman"/>
          <w:lang w:val="fr-BE"/>
        </w:rPr>
        <w:t xml:space="preserve"> </w:t>
      </w:r>
      <w:r w:rsidR="00A64ACA">
        <w:rPr>
          <w:rFonts w:eastAsia="Times New Roman"/>
          <w:lang w:val="fr-BE"/>
        </w:rPr>
        <w:t xml:space="preserve">(Source : </w:t>
      </w:r>
      <w:hyperlink r:id="rId13" w:history="1">
        <w:r w:rsidR="00A64ACA" w:rsidRPr="00A64ACA">
          <w:rPr>
            <w:rStyle w:val="Hyperlink"/>
            <w:rFonts w:eastAsia="Times New Roman"/>
            <w:lang w:val="fr-BE"/>
          </w:rPr>
          <w:t>indicators.be - Jeunes non scolarisés et sans emploi ni formation (i44)</w:t>
        </w:r>
      </w:hyperlink>
      <w:r w:rsidR="00A64ACA">
        <w:rPr>
          <w:rFonts w:eastAsia="Times New Roman"/>
          <w:lang w:val="fr-BE"/>
        </w:rPr>
        <w:t>)</w:t>
      </w:r>
      <w:r w:rsidR="00C46234">
        <w:rPr>
          <w:rFonts w:eastAsia="Times New Roman"/>
          <w:noProof/>
          <w:lang w:val="fr-BE"/>
        </w:rPr>
        <w:t>.</w:t>
      </w:r>
    </w:p>
    <w:p w14:paraId="6C1BC3BE" w14:textId="5FAF957D" w:rsidR="00A64ACA" w:rsidRPr="004868EC" w:rsidRDefault="00A64ACA" w:rsidP="004868EC">
      <w:pPr>
        <w:spacing w:before="240" w:after="0" w:line="240" w:lineRule="auto"/>
        <w:jc w:val="both"/>
        <w:rPr>
          <w:rFonts w:eastAsia="Times New Roman"/>
          <w:lang w:val="fr-BE"/>
        </w:rPr>
      </w:pPr>
      <w:r>
        <w:rPr>
          <w:rFonts w:eastAsia="Times New Roman"/>
          <w:noProof/>
          <w:lang w:val="fr-BE"/>
        </w:rPr>
        <w:drawing>
          <wp:inline distT="0" distB="0" distL="0" distR="0" wp14:anchorId="28EA949F" wp14:editId="4A546F17">
            <wp:extent cx="5759450" cy="2347595"/>
            <wp:effectExtent l="0" t="0" r="0" b="0"/>
            <wp:docPr id="19966864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347595"/>
                    </a:xfrm>
                    <a:prstGeom prst="rect">
                      <a:avLst/>
                    </a:prstGeom>
                    <a:noFill/>
                    <a:ln>
                      <a:noFill/>
                    </a:ln>
                  </pic:spPr>
                </pic:pic>
              </a:graphicData>
            </a:graphic>
          </wp:inline>
        </w:drawing>
      </w:r>
    </w:p>
    <w:p w14:paraId="7C798E00" w14:textId="143FC273" w:rsidR="00F358A0" w:rsidRPr="00EE1087" w:rsidRDefault="00412797" w:rsidP="00EE1087">
      <w:pPr>
        <w:pStyle w:val="ListParagraph"/>
        <w:numPr>
          <w:ilvl w:val="0"/>
          <w:numId w:val="15"/>
        </w:numPr>
        <w:jc w:val="both"/>
        <w:rPr>
          <w:b/>
          <w:bCs/>
          <w:u w:val="single"/>
          <w:lang w:val="fr-FR"/>
        </w:rPr>
      </w:pPr>
      <w:bookmarkStart w:id="5" w:name="_Hlk198891919"/>
      <w:bookmarkEnd w:id="3"/>
      <w:r w:rsidRPr="00EE1087">
        <w:rPr>
          <w:b/>
          <w:bCs/>
          <w:u w:val="single"/>
          <w:lang w:val="fr-FR"/>
        </w:rPr>
        <w:t>M</w:t>
      </w:r>
      <w:r w:rsidR="00341341" w:rsidRPr="00EE1087">
        <w:rPr>
          <w:b/>
          <w:bCs/>
          <w:u w:val="single"/>
          <w:lang w:val="fr-FR"/>
        </w:rPr>
        <w:t xml:space="preserve">esures liées à </w:t>
      </w:r>
      <w:r w:rsidR="00675650" w:rsidRPr="00EE1087">
        <w:rPr>
          <w:b/>
          <w:bCs/>
          <w:u w:val="single"/>
          <w:lang w:val="fr-FR"/>
        </w:rPr>
        <w:t>la thématique « </w:t>
      </w:r>
      <w:r w:rsidR="00341341" w:rsidRPr="00EE1087">
        <w:rPr>
          <w:b/>
          <w:bCs/>
          <w:u w:val="single"/>
          <w:lang w:val="fr-FR"/>
        </w:rPr>
        <w:t>intégration sociale et l’emploi</w:t>
      </w:r>
      <w:r w:rsidR="00675650" w:rsidRPr="00EE1087">
        <w:rPr>
          <w:b/>
          <w:bCs/>
          <w:u w:val="single"/>
          <w:lang w:val="fr-FR"/>
        </w:rPr>
        <w:t> »</w:t>
      </w:r>
      <w:r w:rsidR="00341341" w:rsidRPr="00EE1087">
        <w:rPr>
          <w:b/>
          <w:bCs/>
          <w:u w:val="single"/>
          <w:lang w:val="fr-FR"/>
        </w:rPr>
        <w:t xml:space="preserve"> sur base de </w:t>
      </w:r>
      <w:r w:rsidR="00F358A0" w:rsidRPr="00EE1087">
        <w:rPr>
          <w:b/>
          <w:bCs/>
          <w:u w:val="single"/>
          <w:lang w:val="fr-FR"/>
        </w:rPr>
        <w:t>l’accord de gouvernement</w:t>
      </w:r>
    </w:p>
    <w:p w14:paraId="23FCB793" w14:textId="67608633" w:rsidR="004A2C83" w:rsidRDefault="00DE3832" w:rsidP="00DE3832">
      <w:pPr>
        <w:jc w:val="both"/>
        <w:rPr>
          <w:i/>
          <w:iCs/>
          <w:lang w:val="fr-FR"/>
        </w:rPr>
      </w:pPr>
      <w:bookmarkStart w:id="6" w:name="_Hlk198892102"/>
      <w:bookmarkEnd w:id="5"/>
      <w:r>
        <w:rPr>
          <w:i/>
          <w:iCs/>
          <w:lang w:val="fr-FR"/>
        </w:rPr>
        <w:t>Vous trouverez ci-dessous une p</w:t>
      </w:r>
      <w:r w:rsidR="00B375A1">
        <w:rPr>
          <w:i/>
          <w:iCs/>
          <w:lang w:val="fr-FR"/>
        </w:rPr>
        <w:t>remière sélection non-exhaustive de mesures reprises dans l’accord de gouvernement :</w:t>
      </w:r>
    </w:p>
    <w:p w14:paraId="30E09B79" w14:textId="33D61DA3" w:rsidR="005A6F59" w:rsidRPr="00F41E67" w:rsidRDefault="00BB0D9B" w:rsidP="005A6F59">
      <w:pPr>
        <w:pStyle w:val="ListParagraph"/>
        <w:numPr>
          <w:ilvl w:val="0"/>
          <w:numId w:val="13"/>
        </w:numPr>
        <w:jc w:val="both"/>
        <w:rPr>
          <w:rFonts w:cstheme="minorHAnsi"/>
          <w:i/>
          <w:iCs/>
          <w:lang w:val="fr-FR"/>
        </w:rPr>
      </w:pPr>
      <w:r>
        <w:rPr>
          <w:rFonts w:cstheme="minorHAnsi"/>
          <w:lang w:val="fr-FR"/>
        </w:rPr>
        <w:t>A</w:t>
      </w:r>
      <w:r w:rsidRPr="00BB0D9B">
        <w:rPr>
          <w:rFonts w:cstheme="minorHAnsi"/>
          <w:lang w:val="fr-FR"/>
        </w:rPr>
        <w:t>baiss</w:t>
      </w:r>
      <w:r>
        <w:rPr>
          <w:rFonts w:cstheme="minorHAnsi"/>
          <w:lang w:val="fr-FR"/>
        </w:rPr>
        <w:t>er</w:t>
      </w:r>
      <w:r w:rsidRPr="00BB0D9B">
        <w:rPr>
          <w:rFonts w:cstheme="minorHAnsi"/>
          <w:lang w:val="fr-FR"/>
        </w:rPr>
        <w:t xml:space="preserve"> le seuil d’accès à l’emploi en proposant un système de cumul simple et prévisible pour les revenus du travail </w:t>
      </w:r>
    </w:p>
    <w:p w14:paraId="33F41F0D" w14:textId="55E37923" w:rsidR="005A6F59" w:rsidRPr="00F41E67" w:rsidRDefault="00BB0D9B" w:rsidP="005A6F59">
      <w:pPr>
        <w:pStyle w:val="ListParagraph"/>
        <w:numPr>
          <w:ilvl w:val="0"/>
          <w:numId w:val="13"/>
        </w:numPr>
        <w:jc w:val="both"/>
        <w:rPr>
          <w:rFonts w:cstheme="minorHAnsi"/>
          <w:i/>
          <w:iCs/>
          <w:lang w:val="fr-FR"/>
        </w:rPr>
      </w:pPr>
      <w:r w:rsidRPr="004868EC">
        <w:rPr>
          <w:rFonts w:eastAsia="Times New Roman" w:cstheme="minorHAnsi"/>
          <w:color w:val="000000"/>
          <w:lang w:val="fr-BE" w:eastAsia="nl-BE"/>
        </w:rPr>
        <w:t xml:space="preserve">Améliorer le régime de cumul pour l’AI </w:t>
      </w:r>
      <w:r w:rsidR="007268A8">
        <w:rPr>
          <w:rFonts w:eastAsia="Times New Roman" w:cstheme="minorHAnsi"/>
          <w:color w:val="000000"/>
          <w:lang w:val="fr-BE" w:eastAsia="nl-BE"/>
        </w:rPr>
        <w:t xml:space="preserve">(allocation d’intégration) </w:t>
      </w:r>
      <w:r w:rsidRPr="004868EC">
        <w:rPr>
          <w:rFonts w:eastAsia="Times New Roman" w:cstheme="minorHAnsi"/>
          <w:color w:val="000000"/>
          <w:lang w:val="fr-BE" w:eastAsia="nl-BE"/>
        </w:rPr>
        <w:t>avec les allocations après l’emploi, afin qu’une période d’emploi ne mène pas à la perte de l’AI.</w:t>
      </w:r>
    </w:p>
    <w:p w14:paraId="70071BF1" w14:textId="484462FC" w:rsidR="005A6F59" w:rsidRPr="00F41E67" w:rsidRDefault="0014097B" w:rsidP="005A6F59">
      <w:pPr>
        <w:pStyle w:val="ListParagraph"/>
        <w:numPr>
          <w:ilvl w:val="0"/>
          <w:numId w:val="13"/>
        </w:numPr>
        <w:jc w:val="both"/>
        <w:rPr>
          <w:rFonts w:cstheme="minorHAnsi"/>
          <w:i/>
          <w:iCs/>
          <w:lang w:val="fr-FR"/>
        </w:rPr>
      </w:pPr>
      <w:r w:rsidRPr="004868EC">
        <w:rPr>
          <w:rFonts w:eastAsia="Times New Roman" w:cstheme="minorHAnsi"/>
          <w:color w:val="000000"/>
          <w:lang w:val="fr-BE" w:eastAsia="nl-BE"/>
        </w:rPr>
        <w:t>L’augmentation du financeme</w:t>
      </w:r>
      <w:r w:rsidR="008639A4" w:rsidRPr="004868EC">
        <w:rPr>
          <w:rFonts w:eastAsia="Times New Roman" w:cstheme="minorHAnsi"/>
          <w:color w:val="000000"/>
          <w:lang w:val="fr-BE" w:eastAsia="nl-BE"/>
        </w:rPr>
        <w:t>n</w:t>
      </w:r>
      <w:r w:rsidRPr="004868EC">
        <w:rPr>
          <w:rFonts w:eastAsia="Times New Roman" w:cstheme="minorHAnsi"/>
          <w:color w:val="000000"/>
          <w:lang w:val="fr-BE" w:eastAsia="nl-BE"/>
        </w:rPr>
        <w:t xml:space="preserve">t des revenus d’intégration par le gouvernement fédéral dépend de la </w:t>
      </w:r>
      <w:r w:rsidR="007268A8" w:rsidRPr="004868EC">
        <w:rPr>
          <w:rFonts w:eastAsia="Times New Roman" w:cstheme="minorHAnsi"/>
          <w:color w:val="000000"/>
          <w:lang w:val="fr-BE" w:eastAsia="nl-BE"/>
        </w:rPr>
        <w:t>clôture</w:t>
      </w:r>
      <w:r w:rsidRPr="004868EC">
        <w:rPr>
          <w:rFonts w:eastAsia="Times New Roman" w:cstheme="minorHAnsi"/>
          <w:color w:val="000000"/>
          <w:lang w:val="fr-BE" w:eastAsia="nl-BE"/>
        </w:rPr>
        <w:t xml:space="preserve"> d’un PISS et des résultats concernant la sortie des </w:t>
      </w:r>
      <w:r w:rsidR="007268A8" w:rsidRPr="004868EC">
        <w:rPr>
          <w:rFonts w:eastAsia="Times New Roman" w:cstheme="minorHAnsi"/>
          <w:color w:val="000000"/>
          <w:lang w:val="fr-BE" w:eastAsia="nl-BE"/>
        </w:rPr>
        <w:t>bénéficiaires</w:t>
      </w:r>
      <w:r w:rsidRPr="004868EC">
        <w:rPr>
          <w:rFonts w:eastAsia="Times New Roman" w:cstheme="minorHAnsi"/>
          <w:color w:val="000000"/>
          <w:lang w:val="fr-BE" w:eastAsia="nl-BE"/>
        </w:rPr>
        <w:t xml:space="preserve"> des revenus d’intégration vers l’emploi durable</w:t>
      </w:r>
    </w:p>
    <w:p w14:paraId="0D235061" w14:textId="2946C228" w:rsidR="005A6F59" w:rsidRPr="00F41E67" w:rsidRDefault="00BB0D9B" w:rsidP="005A6F59">
      <w:pPr>
        <w:pStyle w:val="ListParagraph"/>
        <w:numPr>
          <w:ilvl w:val="0"/>
          <w:numId w:val="13"/>
        </w:numPr>
        <w:jc w:val="both"/>
        <w:rPr>
          <w:rFonts w:cstheme="minorHAnsi"/>
          <w:i/>
          <w:iCs/>
          <w:lang w:val="fr-FR"/>
        </w:rPr>
      </w:pPr>
      <w:r w:rsidRPr="004868EC">
        <w:rPr>
          <w:rFonts w:eastAsia="Times New Roman" w:cstheme="minorHAnsi"/>
          <w:color w:val="000000"/>
          <w:lang w:val="fr-BE" w:eastAsia="nl-BE"/>
        </w:rPr>
        <w:t>Etendre le champ d’application du PIIS à tous les bénéficiaires d’un revenu d’intégration (ou équivalent), à l’exception de ceux qui ne peuvent pas travailler pour des raisons d’équité ou de santé</w:t>
      </w:r>
    </w:p>
    <w:p w14:paraId="0416864D" w14:textId="57C6AFB8" w:rsidR="005A6F59" w:rsidRPr="00F41E67" w:rsidRDefault="0014097B" w:rsidP="005A6F59">
      <w:pPr>
        <w:pStyle w:val="ListParagraph"/>
        <w:numPr>
          <w:ilvl w:val="0"/>
          <w:numId w:val="13"/>
        </w:numPr>
        <w:jc w:val="both"/>
        <w:rPr>
          <w:rFonts w:cstheme="minorHAnsi"/>
          <w:i/>
          <w:iCs/>
          <w:lang w:val="fr-FR"/>
        </w:rPr>
      </w:pPr>
      <w:r w:rsidRPr="004868EC">
        <w:rPr>
          <w:rFonts w:eastAsia="Times New Roman" w:cstheme="minorHAnsi"/>
          <w:color w:val="000000"/>
          <w:lang w:val="fr-BE" w:eastAsia="nl-BE"/>
        </w:rPr>
        <w:t>Examiner l’impact et l’obligation du PISS sur le fonctionnement des CPAS</w:t>
      </w:r>
    </w:p>
    <w:p w14:paraId="0C103E5B" w14:textId="21E3F6AE" w:rsidR="005A6F59" w:rsidRPr="00F41E67" w:rsidRDefault="0014097B" w:rsidP="005A6F59">
      <w:pPr>
        <w:pStyle w:val="ListParagraph"/>
        <w:numPr>
          <w:ilvl w:val="0"/>
          <w:numId w:val="13"/>
        </w:numPr>
        <w:jc w:val="both"/>
        <w:rPr>
          <w:rFonts w:cstheme="minorHAnsi"/>
          <w:i/>
          <w:iCs/>
          <w:lang w:val="fr-FR"/>
        </w:rPr>
      </w:pPr>
      <w:r w:rsidRPr="004868EC">
        <w:rPr>
          <w:rFonts w:eastAsia="Times New Roman" w:cstheme="minorHAnsi"/>
          <w:color w:val="000000"/>
          <w:lang w:val="fr-BE" w:eastAsia="nl-BE"/>
        </w:rPr>
        <w:t>Fournir le soutien supplémentaire nécessaire aux CPAS , nécessaire pour la mise en œuvre du PISS.</w:t>
      </w:r>
    </w:p>
    <w:p w14:paraId="62C8DBF9" w14:textId="0CC354A4" w:rsidR="005A6F59" w:rsidRPr="00F41E67" w:rsidRDefault="008639A4" w:rsidP="005A6F59">
      <w:pPr>
        <w:pStyle w:val="ListParagraph"/>
        <w:numPr>
          <w:ilvl w:val="0"/>
          <w:numId w:val="13"/>
        </w:numPr>
        <w:jc w:val="both"/>
        <w:rPr>
          <w:rFonts w:cstheme="minorHAnsi"/>
          <w:i/>
          <w:iCs/>
          <w:lang w:val="fr-FR"/>
        </w:rPr>
      </w:pPr>
      <w:r w:rsidRPr="004868EC">
        <w:rPr>
          <w:rFonts w:eastAsia="Times New Roman" w:cstheme="minorHAnsi"/>
          <w:color w:val="000000"/>
          <w:lang w:val="fr-BE" w:eastAsia="nl-BE"/>
        </w:rPr>
        <w:t>Harmoniser et optimiser l’examen des ressources et les méthodes de calcul des différentes prestations d’assistance.</w:t>
      </w:r>
    </w:p>
    <w:p w14:paraId="77104292" w14:textId="73548239" w:rsidR="005A6F59" w:rsidRPr="00F41E67" w:rsidRDefault="009E4E09" w:rsidP="005A6F59">
      <w:pPr>
        <w:pStyle w:val="ListParagraph"/>
        <w:numPr>
          <w:ilvl w:val="0"/>
          <w:numId w:val="13"/>
        </w:numPr>
        <w:jc w:val="both"/>
        <w:rPr>
          <w:rFonts w:cstheme="minorHAnsi"/>
          <w:i/>
          <w:iCs/>
          <w:lang w:val="fr-FR"/>
        </w:rPr>
      </w:pPr>
      <w:r w:rsidRPr="004868EC">
        <w:rPr>
          <w:rFonts w:eastAsia="Times New Roman" w:cstheme="minorHAnsi"/>
          <w:color w:val="000000"/>
          <w:lang w:val="fr-BE" w:eastAsia="nl-BE"/>
        </w:rPr>
        <w:t>Toutes les aides sociales et autres prestations seront répertoriées dans un registre central de sorte qu’il pourra en être tenu compte dans le calcul de l’ensemble de l’aide et des prestations sociales.</w:t>
      </w:r>
    </w:p>
    <w:p w14:paraId="01CCA84D" w14:textId="61B3CF6E" w:rsidR="005A6F59" w:rsidRPr="00F41E67" w:rsidRDefault="009E4E09" w:rsidP="005A6F59">
      <w:pPr>
        <w:pStyle w:val="ListParagraph"/>
        <w:numPr>
          <w:ilvl w:val="0"/>
          <w:numId w:val="13"/>
        </w:numPr>
        <w:jc w:val="both"/>
        <w:rPr>
          <w:rFonts w:cstheme="minorHAnsi"/>
          <w:i/>
          <w:iCs/>
          <w:lang w:val="fr-FR"/>
        </w:rPr>
      </w:pPr>
      <w:r w:rsidRPr="004868EC">
        <w:rPr>
          <w:rFonts w:eastAsia="Times New Roman" w:cstheme="minorHAnsi"/>
          <w:color w:val="000000"/>
          <w:lang w:val="fr-BE" w:eastAsia="nl-BE"/>
        </w:rPr>
        <w:t>Le registre central est consultable et devrait être rempli et complété par tous les organismes qui accordent ces aides et avantages. (Les avantages dans le cadre de l’assurance maladie sont immunisés.)</w:t>
      </w:r>
    </w:p>
    <w:p w14:paraId="593D888C" w14:textId="06804845" w:rsidR="005A6F59" w:rsidRPr="00F41E67" w:rsidRDefault="007C74D5" w:rsidP="005A6F59">
      <w:pPr>
        <w:pStyle w:val="ListParagraph"/>
        <w:numPr>
          <w:ilvl w:val="0"/>
          <w:numId w:val="13"/>
        </w:numPr>
        <w:jc w:val="both"/>
        <w:rPr>
          <w:rFonts w:cstheme="minorHAnsi"/>
          <w:i/>
          <w:iCs/>
          <w:lang w:val="fr-FR"/>
        </w:rPr>
      </w:pPr>
      <w:r w:rsidRPr="004868EC">
        <w:rPr>
          <w:rFonts w:eastAsia="Times New Roman" w:cstheme="minorHAnsi"/>
          <w:color w:val="000000"/>
          <w:lang w:val="fr-BE" w:eastAsia="nl-BE"/>
        </w:rPr>
        <w:t>En concertation avec les administrations locales, des règles uniformes d’attribution de l’aide financière complémentaire seront appliquées. Dans le respect de l’autonomie locale, ces règles doivent permettre d’évaluer de manière équivalente entre tous les CPAS les besoins des familles en situation de pauvreté.</w:t>
      </w:r>
    </w:p>
    <w:p w14:paraId="64988F85" w14:textId="2753E9E8" w:rsidR="005A6F59" w:rsidRPr="00F41E67" w:rsidRDefault="007C74D5" w:rsidP="005A6F59">
      <w:pPr>
        <w:pStyle w:val="ListParagraph"/>
        <w:numPr>
          <w:ilvl w:val="0"/>
          <w:numId w:val="13"/>
        </w:numPr>
        <w:jc w:val="both"/>
        <w:rPr>
          <w:rFonts w:cstheme="minorHAnsi"/>
          <w:i/>
          <w:iCs/>
          <w:lang w:val="fr-FR"/>
        </w:rPr>
      </w:pPr>
      <w:r w:rsidRPr="004868EC">
        <w:rPr>
          <w:rFonts w:eastAsia="Times New Roman" w:cstheme="minorHAnsi"/>
          <w:color w:val="000000"/>
          <w:lang w:val="fr-BE" w:eastAsia="nl-BE"/>
        </w:rPr>
        <w:t>Examiner les critères pris en compte par les administrations locales pour accorder une aide financière complémentaire</w:t>
      </w:r>
    </w:p>
    <w:p w14:paraId="421E8F25" w14:textId="7DD71E73" w:rsidR="005A6F59" w:rsidRPr="00F41E67" w:rsidRDefault="00D40B29" w:rsidP="005A6F59">
      <w:pPr>
        <w:pStyle w:val="ListParagraph"/>
        <w:numPr>
          <w:ilvl w:val="0"/>
          <w:numId w:val="13"/>
        </w:numPr>
        <w:jc w:val="both"/>
        <w:rPr>
          <w:rFonts w:cstheme="minorHAnsi"/>
          <w:i/>
          <w:iCs/>
          <w:lang w:val="fr-FR"/>
        </w:rPr>
      </w:pPr>
      <w:r w:rsidRPr="004868EC">
        <w:rPr>
          <w:rFonts w:eastAsia="Times New Roman" w:cstheme="minorHAnsi"/>
          <w:color w:val="000000"/>
          <w:lang w:val="fr-BE" w:eastAsia="nl-BE"/>
        </w:rPr>
        <w:t xml:space="preserve">Mieux </w:t>
      </w:r>
      <w:r w:rsidR="007C74D5" w:rsidRPr="004868EC">
        <w:rPr>
          <w:rFonts w:eastAsia="Times New Roman" w:cstheme="minorHAnsi"/>
          <w:color w:val="000000"/>
          <w:lang w:val="fr-BE" w:eastAsia="nl-BE"/>
        </w:rPr>
        <w:t>align</w:t>
      </w:r>
      <w:r w:rsidRPr="004868EC">
        <w:rPr>
          <w:rFonts w:eastAsia="Times New Roman" w:cstheme="minorHAnsi"/>
          <w:color w:val="000000"/>
          <w:lang w:val="fr-BE" w:eastAsia="nl-BE"/>
        </w:rPr>
        <w:t>er</w:t>
      </w:r>
      <w:r w:rsidR="007C74D5" w:rsidRPr="004868EC">
        <w:rPr>
          <w:rFonts w:eastAsia="Times New Roman" w:cstheme="minorHAnsi"/>
          <w:color w:val="000000"/>
          <w:lang w:val="fr-BE" w:eastAsia="nl-BE"/>
        </w:rPr>
        <w:t xml:space="preserve"> la prime d’installation sur les besoins des parents (isolés)</w:t>
      </w:r>
      <w:r w:rsidRPr="004868EC">
        <w:rPr>
          <w:rFonts w:eastAsia="Times New Roman" w:cstheme="minorHAnsi"/>
          <w:color w:val="000000"/>
          <w:lang w:val="fr-BE" w:eastAsia="nl-BE"/>
        </w:rPr>
        <w:t>.</w:t>
      </w:r>
    </w:p>
    <w:bookmarkEnd w:id="6"/>
    <w:p w14:paraId="040AB02A" w14:textId="77777777" w:rsidR="005A6F59" w:rsidRPr="00B375A1" w:rsidRDefault="005A6F59">
      <w:pPr>
        <w:rPr>
          <w:lang w:val="fr-FR"/>
        </w:rPr>
      </w:pPr>
    </w:p>
    <w:p w14:paraId="41122585" w14:textId="77777777" w:rsidR="00EE1087" w:rsidRDefault="00EE1087">
      <w:pPr>
        <w:rPr>
          <w:b/>
          <w:bCs/>
          <w:u w:val="single"/>
          <w:lang w:val="fr-FR"/>
        </w:rPr>
      </w:pPr>
      <w:r>
        <w:rPr>
          <w:b/>
          <w:bCs/>
          <w:u w:val="single"/>
          <w:lang w:val="fr-FR"/>
        </w:rPr>
        <w:br w:type="page"/>
      </w:r>
    </w:p>
    <w:p w14:paraId="5B2497CF" w14:textId="64C2C0F6" w:rsidR="00EE1087" w:rsidRPr="003E5874" w:rsidRDefault="003E5874" w:rsidP="00EE1087">
      <w:pPr>
        <w:pStyle w:val="ListParagraph"/>
        <w:numPr>
          <w:ilvl w:val="0"/>
          <w:numId w:val="15"/>
        </w:numPr>
        <w:rPr>
          <w:b/>
          <w:bCs/>
          <w:u w:val="single"/>
          <w:lang w:val="fr-FR"/>
        </w:rPr>
      </w:pPr>
      <w:bookmarkStart w:id="7" w:name="_Hlk198891951"/>
      <w:bookmarkStart w:id="8" w:name="_Hlk200116796"/>
      <w:r>
        <w:rPr>
          <w:b/>
          <w:bCs/>
          <w:u w:val="single"/>
          <w:lang w:val="fr-FR"/>
        </w:rPr>
        <w:t>Recommandations</w:t>
      </w:r>
    </w:p>
    <w:bookmarkEnd w:id="7"/>
    <w:p w14:paraId="5940A091" w14:textId="2F91ACEB" w:rsidR="00233ADC" w:rsidRDefault="007C1626" w:rsidP="00233ADC">
      <w:pPr>
        <w:rPr>
          <w:b/>
          <w:bCs/>
          <w:u w:val="single"/>
          <w:lang w:val="fr-FR"/>
        </w:rPr>
      </w:pPr>
      <w:r>
        <w:rPr>
          <w:b/>
          <w:bCs/>
          <w:u w:val="single"/>
          <w:lang w:val="fr-FR"/>
        </w:rPr>
        <w:t xml:space="preserve">Quelles </w:t>
      </w:r>
      <w:r w:rsidR="003E5874">
        <w:rPr>
          <w:b/>
          <w:bCs/>
          <w:u w:val="single"/>
          <w:lang w:val="fr-FR"/>
        </w:rPr>
        <w:t xml:space="preserve">sont vos recommandations en lien avec les mesures sélectionnées par le cabinet ? </w:t>
      </w:r>
    </w:p>
    <w:p w14:paraId="2CFC3448" w14:textId="1DDE86CF" w:rsidR="00233ADC" w:rsidRPr="00EE1087" w:rsidRDefault="00233ADC" w:rsidP="00EE1087">
      <w:pPr>
        <w:rPr>
          <w:b/>
          <w:bCs/>
          <w:u w:val="single"/>
          <w:lang w:val="fr-FR"/>
        </w:rPr>
      </w:pPr>
      <w:bookmarkStart w:id="9" w:name="_Hlk198891965"/>
      <w:r w:rsidRPr="00EE1087">
        <w:rPr>
          <w:b/>
          <w:bCs/>
          <w:u w:val="single"/>
          <w:lang w:val="fr-FR"/>
        </w:rPr>
        <w:t xml:space="preserve">Quelle(s) nouvelle(s) action(s) suggérez-vous </w:t>
      </w:r>
      <w:r w:rsidR="00412797" w:rsidRPr="00EE1087">
        <w:rPr>
          <w:b/>
          <w:bCs/>
          <w:u w:val="single"/>
          <w:lang w:val="fr-FR"/>
        </w:rPr>
        <w:t>en lien avec</w:t>
      </w:r>
      <w:r w:rsidRPr="00EE1087">
        <w:rPr>
          <w:b/>
          <w:bCs/>
          <w:u w:val="single"/>
          <w:lang w:val="fr-FR"/>
        </w:rPr>
        <w:t xml:space="preserve"> la thématique ?</w:t>
      </w:r>
      <w:bookmarkEnd w:id="9"/>
      <w:bookmarkEnd w:id="8"/>
    </w:p>
    <w:sectPr w:rsidR="00233ADC" w:rsidRPr="00EE1087" w:rsidSect="008C5014">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C002" w14:textId="77777777" w:rsidR="00112D95" w:rsidRDefault="00112D95" w:rsidP="008C5014">
      <w:pPr>
        <w:spacing w:after="0" w:line="240" w:lineRule="auto"/>
      </w:pPr>
      <w:r>
        <w:separator/>
      </w:r>
    </w:p>
  </w:endnote>
  <w:endnote w:type="continuationSeparator" w:id="0">
    <w:p w14:paraId="05FAEE83" w14:textId="77777777" w:rsidR="00112D95" w:rsidRDefault="00112D95"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468583260"/>
      <w:docPartObj>
        <w:docPartGallery w:val="Page Numbers (Bottom of Page)"/>
        <w:docPartUnique/>
      </w:docPartObj>
    </w:sdtPr>
    <w:sdtEndPr>
      <w:rPr>
        <w:noProof/>
      </w:rPr>
    </w:sdtEndPr>
    <w:sdtContent>
      <w:p w14:paraId="532F95ED" w14:textId="77777777" w:rsidR="00B530E6" w:rsidRPr="004E42C9" w:rsidRDefault="0062271E">
        <w:pPr>
          <w:pStyle w:val="Footer"/>
          <w:rPr>
            <w:noProof/>
            <w:color w:val="808080" w:themeColor="background1" w:themeShade="80"/>
            <w:sz w:val="18"/>
            <w:szCs w:val="18"/>
            <w:lang w:val="fr-FR"/>
          </w:rPr>
        </w:pPr>
        <w:r w:rsidRPr="004E42C9">
          <w:rPr>
            <w:color w:val="808080" w:themeColor="background1" w:themeShade="80"/>
          </w:rPr>
          <w:fldChar w:fldCharType="begin"/>
        </w:r>
        <w:r w:rsidRPr="004E42C9">
          <w:rPr>
            <w:color w:val="808080" w:themeColor="background1" w:themeShade="80"/>
            <w:lang w:val="fr-FR"/>
          </w:rPr>
          <w:instrText xml:space="preserve"> PAGE   \* MERGEFORMAT </w:instrText>
        </w:r>
        <w:r w:rsidRPr="004E42C9">
          <w:rPr>
            <w:color w:val="808080" w:themeColor="background1" w:themeShade="80"/>
          </w:rPr>
          <w:fldChar w:fldCharType="separate"/>
        </w:r>
        <w:r w:rsidRPr="004E42C9">
          <w:rPr>
            <w:color w:val="808080" w:themeColor="background1" w:themeShade="80"/>
            <w:lang w:val="fr-FR"/>
          </w:rPr>
          <w:t>2</w:t>
        </w:r>
        <w:r w:rsidRPr="004E42C9">
          <w:rPr>
            <w:noProof/>
            <w:color w:val="808080" w:themeColor="background1" w:themeShade="80"/>
          </w:rPr>
          <w:fldChar w:fldCharType="end"/>
        </w:r>
        <w:r w:rsidRPr="004E42C9">
          <w:rPr>
            <w:noProof/>
            <w:color w:val="808080" w:themeColor="background1" w:themeShade="80"/>
            <w:lang w:val="fr-FR"/>
          </w:rPr>
          <w:tab/>
        </w:r>
      </w:p>
      <w:bookmarkStart w:id="10" w:name="_Hlk33451114" w:displacedByCustomXml="next"/>
    </w:sdtContent>
  </w:sdt>
  <w:bookmarkEnd w:id="1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02233"/>
      <w:docPartObj>
        <w:docPartGallery w:val="Page Numbers (Bottom of Page)"/>
        <w:docPartUnique/>
      </w:docPartObj>
    </w:sdtPr>
    <w:sdtEndPr>
      <w:rPr>
        <w:noProof/>
      </w:rPr>
    </w:sdtEndPr>
    <w:sdtContent>
      <w:p w14:paraId="2B4A6B4A" w14:textId="77777777" w:rsidR="00B530E6" w:rsidRDefault="009951A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BC9D" w14:textId="77777777" w:rsidR="00112D95" w:rsidRDefault="00112D95" w:rsidP="008C5014">
      <w:pPr>
        <w:spacing w:after="0" w:line="240" w:lineRule="auto"/>
      </w:pPr>
      <w:r>
        <w:separator/>
      </w:r>
    </w:p>
  </w:footnote>
  <w:footnote w:type="continuationSeparator" w:id="0">
    <w:p w14:paraId="410ABEDB" w14:textId="77777777" w:rsidR="00112D95" w:rsidRDefault="00112D95" w:rsidP="008C5014">
      <w:pPr>
        <w:spacing w:after="0" w:line="240" w:lineRule="auto"/>
      </w:pPr>
      <w:r>
        <w:continuationSeparator/>
      </w:r>
    </w:p>
  </w:footnote>
  <w:footnote w:id="1">
    <w:p w14:paraId="556CA744" w14:textId="77777777" w:rsidR="004868EC" w:rsidRDefault="004868EC" w:rsidP="004868EC">
      <w:pPr>
        <w:pStyle w:val="FootnoteText"/>
      </w:pPr>
      <w:r>
        <w:rPr>
          <w:rStyle w:val="FootnoteReference"/>
        </w:rPr>
        <w:footnoteRef/>
      </w:r>
      <w:r>
        <w:t xml:space="preserve"> AROP : l</w:t>
      </w:r>
      <w:r w:rsidRPr="00512D14">
        <w:t>e risque de pauvreté (ou pauvreté monétaire) est le pourcentage de personnes ayant un revenu disponible équivalent (après transferts sociaux) inférieur à 60 % du revenu médian national des ménages. </w:t>
      </w:r>
    </w:p>
  </w:footnote>
  <w:footnote w:id="2">
    <w:p w14:paraId="614C0368" w14:textId="77777777" w:rsidR="004868EC" w:rsidRDefault="004868EC" w:rsidP="004868EC">
      <w:pPr>
        <w:pStyle w:val="FootnoteText"/>
      </w:pPr>
      <w:r>
        <w:rPr>
          <w:rStyle w:val="FootnoteReference"/>
        </w:rPr>
        <w:footnoteRef/>
      </w:r>
      <w:r>
        <w:t xml:space="preserve"> Les bénéficiaires étudiants ayant terminé leur PIIS dans l’année sont repris dans ce nombre.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4B4" w14:textId="77777777" w:rsidR="00B92E73" w:rsidRDefault="00B92E73">
    <w:pPr>
      <w:pStyle w:val="Header"/>
    </w:pPr>
    <w:r w:rsidRPr="004A68CF">
      <w:rPr>
        <w:noProof/>
      </w:rPr>
      <w:drawing>
        <wp:anchor distT="0" distB="0" distL="114300" distR="114300" simplePos="0" relativeHeight="251659264" behindDoc="1" locked="0" layoutInCell="1" allowOverlap="1" wp14:anchorId="358E434B" wp14:editId="2DB87714">
          <wp:simplePos x="0" y="0"/>
          <wp:positionH relativeFrom="page">
            <wp:posOffset>9558</wp:posOffset>
          </wp:positionH>
          <wp:positionV relativeFrom="paragraph">
            <wp:posOffset>-449580</wp:posOffset>
          </wp:positionV>
          <wp:extent cx="7562784" cy="1069254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78" w14:textId="77777777" w:rsidR="008C5014" w:rsidRPr="007E11F7" w:rsidRDefault="008C5014">
    <w:pPr>
      <w:pStyle w:val="Header"/>
      <w:rPr>
        <w:color w:val="808080" w:themeColor="background1" w:themeShade="80"/>
      </w:rPr>
    </w:pPr>
  </w:p>
  <w:p w14:paraId="00319B9F" w14:textId="77777777" w:rsidR="00F14040" w:rsidRPr="007E11F7" w:rsidRDefault="00F14040">
    <w:pPr>
      <w:pStyle w:val="Header"/>
      <w:rPr>
        <w:color w:val="808080" w:themeColor="background1" w:themeShade="80"/>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5"/>
      <w:gridCol w:w="2984"/>
      <w:gridCol w:w="1913"/>
      <w:gridCol w:w="2476"/>
    </w:tblGrid>
    <w:tr w:rsidR="007E11F7" w:rsidRPr="007E11F7" w14:paraId="7ED43294" w14:textId="77777777" w:rsidTr="00A17167">
      <w:tc>
        <w:tcPr>
          <w:tcW w:w="5529" w:type="dxa"/>
          <w:gridSpan w:val="2"/>
        </w:tcPr>
        <w:p w14:paraId="0A2BD5F1" w14:textId="77777777" w:rsidR="00B530E6" w:rsidRPr="007E11F7" w:rsidRDefault="00B530E6" w:rsidP="00F14040">
          <w:pPr>
            <w:pStyle w:val="Header"/>
            <w:rPr>
              <w:color w:val="808080" w:themeColor="background1" w:themeShade="80"/>
              <w:sz w:val="18"/>
              <w:szCs w:val="18"/>
            </w:rPr>
          </w:pPr>
          <w:r w:rsidRPr="007E11F7">
            <w:rPr>
              <w:noProof/>
              <w:color w:val="808080" w:themeColor="background1" w:themeShade="80"/>
            </w:rPr>
            <w:drawing>
              <wp:inline distT="0" distB="0" distL="0" distR="0" wp14:anchorId="25753FE8" wp14:editId="1E215D4F">
                <wp:extent cx="2321717" cy="542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4389" w:type="dxa"/>
          <w:gridSpan w:val="2"/>
        </w:tcPr>
        <w:p w14:paraId="4EBB345A" w14:textId="70842B20" w:rsidR="00B530E6" w:rsidRPr="003D7888" w:rsidRDefault="00F358A0">
          <w:pPr>
            <w:pStyle w:val="Header"/>
            <w:rPr>
              <w:b/>
              <w:bCs/>
              <w:color w:val="808080" w:themeColor="background1" w:themeShade="80"/>
              <w:sz w:val="44"/>
              <w:szCs w:val="44"/>
              <w:lang w:val="fr-BE"/>
            </w:rPr>
          </w:pPr>
          <w:r>
            <w:rPr>
              <w:b/>
              <w:bCs/>
              <w:color w:val="808080" w:themeColor="background1" w:themeShade="80"/>
              <w:sz w:val="44"/>
              <w:szCs w:val="44"/>
              <w:lang w:val="fr-BE"/>
            </w:rPr>
            <w:t>Fiche thématique</w:t>
          </w:r>
        </w:p>
      </w:tc>
    </w:tr>
    <w:tr w:rsidR="007E11F7" w:rsidRPr="004E42C9" w14:paraId="4AB4D1FC" w14:textId="77777777" w:rsidTr="00A17167">
      <w:tc>
        <w:tcPr>
          <w:tcW w:w="2545" w:type="dxa"/>
        </w:tcPr>
        <w:p w14:paraId="2DA55D24" w14:textId="77777777" w:rsidR="004C082D" w:rsidRPr="003D7888" w:rsidRDefault="004C082D" w:rsidP="00F14040">
          <w:pPr>
            <w:pStyle w:val="Header"/>
            <w:jc w:val="right"/>
            <w:rPr>
              <w:color w:val="808080" w:themeColor="background1" w:themeShade="80"/>
              <w:sz w:val="18"/>
              <w:szCs w:val="18"/>
              <w:lang w:val="fr-FR"/>
            </w:rPr>
          </w:pPr>
        </w:p>
        <w:p w14:paraId="3BF2EDD8" w14:textId="77777777" w:rsidR="004C082D" w:rsidRPr="007E11F7" w:rsidRDefault="00DF4D99"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 xml:space="preserve">Boulevard du Jardin </w:t>
          </w:r>
          <w:r w:rsidR="00A17167" w:rsidRPr="007E11F7">
            <w:rPr>
              <w:color w:val="808080" w:themeColor="background1" w:themeShade="80"/>
              <w:sz w:val="18"/>
              <w:szCs w:val="18"/>
              <w:lang w:val="fr-FR"/>
            </w:rPr>
            <w:br/>
          </w:r>
          <w:r w:rsidRPr="007E11F7">
            <w:rPr>
              <w:color w:val="808080" w:themeColor="background1" w:themeShade="80"/>
              <w:sz w:val="18"/>
              <w:szCs w:val="18"/>
              <w:lang w:val="fr-FR"/>
            </w:rPr>
            <w:t>Botanique</w:t>
          </w:r>
          <w:r w:rsidR="004C082D" w:rsidRPr="007E11F7">
            <w:rPr>
              <w:color w:val="808080" w:themeColor="background1" w:themeShade="80"/>
              <w:sz w:val="18"/>
              <w:szCs w:val="18"/>
              <w:lang w:val="fr-FR"/>
            </w:rPr>
            <w:t xml:space="preserve"> 50 </w:t>
          </w:r>
          <w:r w:rsidR="00A17167" w:rsidRPr="007E11F7">
            <w:rPr>
              <w:color w:val="808080" w:themeColor="background1" w:themeShade="80"/>
              <w:sz w:val="18"/>
              <w:szCs w:val="18"/>
              <w:lang w:val="fr-FR"/>
            </w:rPr>
            <w:t>boîte</w:t>
          </w:r>
          <w:r w:rsidR="004C082D" w:rsidRPr="007E11F7">
            <w:rPr>
              <w:color w:val="808080" w:themeColor="background1" w:themeShade="80"/>
              <w:sz w:val="18"/>
              <w:szCs w:val="18"/>
              <w:lang w:val="fr-FR"/>
            </w:rPr>
            <w:t xml:space="preserve"> 165</w:t>
          </w:r>
        </w:p>
        <w:p w14:paraId="719B410C"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B-1000 Bru</w:t>
          </w:r>
          <w:r w:rsidR="00A17167" w:rsidRPr="007E11F7">
            <w:rPr>
              <w:color w:val="808080" w:themeColor="background1" w:themeShade="80"/>
              <w:sz w:val="18"/>
              <w:szCs w:val="18"/>
              <w:lang w:val="fr-FR"/>
            </w:rPr>
            <w:t>xelles</w:t>
          </w:r>
        </w:p>
        <w:p w14:paraId="6C1B516F"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T. +32 2 508 85 8</w:t>
          </w:r>
          <w:r w:rsidR="00A17167" w:rsidRPr="007E11F7">
            <w:rPr>
              <w:color w:val="808080" w:themeColor="background1" w:themeShade="80"/>
              <w:sz w:val="18"/>
              <w:szCs w:val="18"/>
              <w:lang w:val="fr-FR"/>
            </w:rPr>
            <w:t>6</w:t>
          </w:r>
        </w:p>
        <w:p w14:paraId="6F0FF4B3" w14:textId="77777777" w:rsidR="004C082D" w:rsidRPr="007E11F7" w:rsidRDefault="004C082D" w:rsidP="00F14040">
          <w:pPr>
            <w:pStyle w:val="Header"/>
            <w:jc w:val="right"/>
            <w:rPr>
              <w:color w:val="808080" w:themeColor="background1" w:themeShade="80"/>
              <w:sz w:val="18"/>
              <w:szCs w:val="18"/>
              <w:lang w:val="fr-FR"/>
            </w:rPr>
          </w:pPr>
          <w:r w:rsidRPr="007E11F7">
            <w:rPr>
              <w:color w:val="808080" w:themeColor="background1" w:themeShade="80"/>
              <w:sz w:val="18"/>
              <w:szCs w:val="18"/>
              <w:lang w:val="fr-FR"/>
            </w:rPr>
            <w:t xml:space="preserve">E. </w:t>
          </w:r>
          <w:hyperlink r:id="rId2" w:history="1">
            <w:r w:rsidR="00A17167" w:rsidRPr="007E11F7">
              <w:rPr>
                <w:rStyle w:val="Hyperlink"/>
                <w:color w:val="808080" w:themeColor="background1" w:themeShade="80"/>
                <w:sz w:val="18"/>
                <w:szCs w:val="18"/>
                <w:lang w:val="fr-FR"/>
              </w:rPr>
              <w:t>question@mi-is.be</w:t>
            </w:r>
          </w:hyperlink>
          <w:r w:rsidR="00A17167" w:rsidRPr="007E11F7">
            <w:rPr>
              <w:color w:val="808080" w:themeColor="background1" w:themeShade="80"/>
              <w:sz w:val="18"/>
              <w:szCs w:val="18"/>
              <w:lang w:val="fr-FR"/>
            </w:rPr>
            <w:t xml:space="preserve"> </w:t>
          </w:r>
        </w:p>
        <w:p w14:paraId="522B6E16" w14:textId="77777777" w:rsidR="004C082D" w:rsidRPr="007E11F7" w:rsidRDefault="005D6F9D" w:rsidP="00F14040">
          <w:pPr>
            <w:pStyle w:val="Header"/>
            <w:jc w:val="right"/>
            <w:rPr>
              <w:color w:val="808080" w:themeColor="background1" w:themeShade="80"/>
              <w:sz w:val="18"/>
              <w:szCs w:val="18"/>
            </w:rPr>
          </w:pPr>
          <w:hyperlink r:id="rId3" w:history="1">
            <w:r w:rsidR="004C082D" w:rsidRPr="007E11F7">
              <w:rPr>
                <w:rStyle w:val="Hyperlink"/>
                <w:color w:val="808080" w:themeColor="background1" w:themeShade="80"/>
                <w:sz w:val="18"/>
                <w:szCs w:val="18"/>
              </w:rPr>
              <w:t>www.mi-is.be</w:t>
            </w:r>
          </w:hyperlink>
        </w:p>
        <w:p w14:paraId="672B33F5" w14:textId="77777777" w:rsidR="004C082D" w:rsidRPr="007E11F7" w:rsidRDefault="004C082D">
          <w:pPr>
            <w:pStyle w:val="Header"/>
            <w:rPr>
              <w:color w:val="808080" w:themeColor="background1" w:themeShade="80"/>
              <w:sz w:val="18"/>
              <w:szCs w:val="18"/>
            </w:rPr>
          </w:pPr>
        </w:p>
      </w:tc>
      <w:tc>
        <w:tcPr>
          <w:tcW w:w="2984" w:type="dxa"/>
        </w:tcPr>
        <w:p w14:paraId="7F752267" w14:textId="77777777" w:rsidR="004C082D" w:rsidRPr="007E11F7" w:rsidRDefault="004C082D">
          <w:pPr>
            <w:pStyle w:val="Header"/>
            <w:rPr>
              <w:color w:val="808080" w:themeColor="background1" w:themeShade="80"/>
              <w:sz w:val="18"/>
              <w:szCs w:val="18"/>
            </w:rPr>
          </w:pPr>
        </w:p>
        <w:p w14:paraId="4BB5D8E8" w14:textId="77777777" w:rsidR="004C082D" w:rsidRPr="007E11F7" w:rsidRDefault="004C082D">
          <w:pPr>
            <w:pStyle w:val="Header"/>
            <w:rPr>
              <w:color w:val="808080" w:themeColor="background1" w:themeShade="80"/>
              <w:sz w:val="18"/>
              <w:szCs w:val="18"/>
            </w:rPr>
          </w:pPr>
          <w:r w:rsidRPr="007E11F7">
            <w:rPr>
              <w:color w:val="808080" w:themeColor="background1" w:themeShade="80"/>
              <w:sz w:val="18"/>
              <w:szCs w:val="18"/>
            </w:rPr>
            <w:t xml:space="preserve"> </w:t>
          </w:r>
        </w:p>
      </w:tc>
      <w:tc>
        <w:tcPr>
          <w:tcW w:w="4389" w:type="dxa"/>
          <w:gridSpan w:val="2"/>
        </w:tcPr>
        <w:p w14:paraId="1A4F1021" w14:textId="77777777" w:rsidR="004C082D" w:rsidRPr="007E11F7" w:rsidRDefault="004C082D">
          <w:pPr>
            <w:pStyle w:val="Header"/>
            <w:rPr>
              <w:color w:val="808080" w:themeColor="background1" w:themeShade="80"/>
              <w:sz w:val="18"/>
              <w:szCs w:val="18"/>
              <w:lang w:val="fr-FR"/>
            </w:rPr>
          </w:pPr>
          <w:r w:rsidRPr="007E11F7">
            <w:rPr>
              <w:color w:val="808080" w:themeColor="background1" w:themeShade="80"/>
              <w:sz w:val="18"/>
              <w:szCs w:val="18"/>
              <w:lang w:val="fr-FR"/>
            </w:rPr>
            <w:softHyphen/>
          </w:r>
        </w:p>
        <w:p w14:paraId="662A7F47" w14:textId="77777777" w:rsidR="004C082D" w:rsidRPr="007E11F7" w:rsidRDefault="004E42C9">
          <w:pPr>
            <w:pStyle w:val="Header"/>
            <w:rPr>
              <w:b/>
              <w:color w:val="808080" w:themeColor="background1" w:themeShade="80"/>
              <w:sz w:val="18"/>
              <w:szCs w:val="18"/>
              <w:lang w:val="fr-FR"/>
            </w:rPr>
          </w:pPr>
          <w:r>
            <w:rPr>
              <w:b/>
              <w:color w:val="808080" w:themeColor="background1" w:themeShade="80"/>
              <w:sz w:val="18"/>
              <w:szCs w:val="18"/>
              <w:lang w:val="fr-FR"/>
            </w:rPr>
            <w:t>À</w:t>
          </w:r>
          <w:r w:rsidR="00A17167" w:rsidRPr="007E11F7">
            <w:rPr>
              <w:b/>
              <w:color w:val="808080" w:themeColor="background1" w:themeShade="80"/>
              <w:sz w:val="18"/>
              <w:szCs w:val="18"/>
              <w:lang w:val="fr-FR"/>
            </w:rPr>
            <w:t xml:space="preserve"> l’attention de</w:t>
          </w:r>
          <w:r>
            <w:rPr>
              <w:b/>
              <w:color w:val="808080" w:themeColor="background1" w:themeShade="80"/>
              <w:sz w:val="18"/>
              <w:szCs w:val="18"/>
              <w:lang w:val="fr-FR"/>
            </w:rPr>
            <w:t xml:space="preserve"> </w:t>
          </w:r>
          <w:r w:rsidR="004C082D" w:rsidRPr="007E11F7">
            <w:rPr>
              <w:b/>
              <w:color w:val="808080" w:themeColor="background1" w:themeShade="80"/>
              <w:sz w:val="18"/>
              <w:szCs w:val="18"/>
              <w:lang w:val="fr-FR"/>
            </w:rPr>
            <w:t>:</w:t>
          </w:r>
        </w:p>
        <w:p w14:paraId="0761B6F7" w14:textId="77777777" w:rsidR="00E52CA5" w:rsidRPr="007E11F7" w:rsidRDefault="00E52CA5">
          <w:pPr>
            <w:pStyle w:val="Header"/>
            <w:rPr>
              <w:color w:val="808080" w:themeColor="background1" w:themeShade="80"/>
              <w:sz w:val="18"/>
              <w:szCs w:val="18"/>
              <w:lang w:val="fr-FR"/>
            </w:rPr>
          </w:pPr>
        </w:p>
      </w:tc>
    </w:tr>
    <w:tr w:rsidR="007E11F7" w:rsidRPr="004E42C9" w14:paraId="09310619" w14:textId="77777777" w:rsidTr="00A17167">
      <w:tc>
        <w:tcPr>
          <w:tcW w:w="2545" w:type="dxa"/>
          <w:tcBorders>
            <w:bottom w:val="single" w:sz="4" w:space="0" w:color="auto"/>
          </w:tcBorders>
        </w:tcPr>
        <w:p w14:paraId="15E8897D" w14:textId="77777777" w:rsidR="00F14040" w:rsidRPr="007E11F7" w:rsidRDefault="00F14040">
          <w:pPr>
            <w:pStyle w:val="Header"/>
            <w:rPr>
              <w:color w:val="808080" w:themeColor="background1" w:themeShade="80"/>
              <w:sz w:val="18"/>
              <w:szCs w:val="18"/>
              <w:lang w:val="fr-FR"/>
            </w:rPr>
          </w:pPr>
        </w:p>
      </w:tc>
      <w:tc>
        <w:tcPr>
          <w:tcW w:w="2984" w:type="dxa"/>
          <w:tcBorders>
            <w:bottom w:val="single" w:sz="4" w:space="0" w:color="auto"/>
          </w:tcBorders>
        </w:tcPr>
        <w:p w14:paraId="14EF4B31" w14:textId="77777777" w:rsidR="00F14040" w:rsidRPr="007E11F7" w:rsidRDefault="00F14040">
          <w:pPr>
            <w:pStyle w:val="Header"/>
            <w:rPr>
              <w:color w:val="808080" w:themeColor="background1" w:themeShade="80"/>
              <w:sz w:val="18"/>
              <w:szCs w:val="18"/>
              <w:lang w:val="fr-FR"/>
            </w:rPr>
          </w:pPr>
        </w:p>
      </w:tc>
      <w:tc>
        <w:tcPr>
          <w:tcW w:w="1913" w:type="dxa"/>
          <w:tcBorders>
            <w:bottom w:val="single" w:sz="4" w:space="0" w:color="auto"/>
          </w:tcBorders>
        </w:tcPr>
        <w:p w14:paraId="3B2454EB" w14:textId="77777777" w:rsidR="00F14040" w:rsidRPr="007E11F7" w:rsidRDefault="00F14040">
          <w:pPr>
            <w:pStyle w:val="Header"/>
            <w:rPr>
              <w:color w:val="808080" w:themeColor="background1" w:themeShade="80"/>
              <w:sz w:val="18"/>
              <w:szCs w:val="18"/>
              <w:lang w:val="fr-FR"/>
            </w:rPr>
          </w:pPr>
        </w:p>
      </w:tc>
      <w:tc>
        <w:tcPr>
          <w:tcW w:w="2476" w:type="dxa"/>
          <w:tcBorders>
            <w:bottom w:val="single" w:sz="4" w:space="0" w:color="auto"/>
          </w:tcBorders>
        </w:tcPr>
        <w:p w14:paraId="7BDA8519" w14:textId="77777777" w:rsidR="00F14040" w:rsidRPr="007E11F7" w:rsidRDefault="00F14040">
          <w:pPr>
            <w:pStyle w:val="Header"/>
            <w:rPr>
              <w:color w:val="808080" w:themeColor="background1" w:themeShade="80"/>
              <w:sz w:val="18"/>
              <w:szCs w:val="18"/>
              <w:lang w:val="fr-FR"/>
            </w:rPr>
          </w:pPr>
        </w:p>
      </w:tc>
    </w:tr>
    <w:tr w:rsidR="00C44CD5" w:rsidRPr="00C55B5D" w14:paraId="12A8F0AF" w14:textId="77777777" w:rsidTr="00A17167">
      <w:tc>
        <w:tcPr>
          <w:tcW w:w="2545" w:type="dxa"/>
          <w:tcBorders>
            <w:top w:val="single" w:sz="4" w:space="0" w:color="auto"/>
          </w:tcBorders>
        </w:tcPr>
        <w:p w14:paraId="38C3A3DB" w14:textId="77777777" w:rsidR="00C44CD5" w:rsidRPr="00C55B5D" w:rsidRDefault="00C44CD5" w:rsidP="00C44CD5">
          <w:pPr>
            <w:pStyle w:val="Header"/>
            <w:jc w:val="right"/>
            <w:rPr>
              <w:b/>
              <w:color w:val="808080" w:themeColor="background1" w:themeShade="80"/>
              <w:sz w:val="18"/>
              <w:szCs w:val="18"/>
              <w:lang w:val="fr-FR"/>
            </w:rPr>
          </w:pPr>
          <w:r>
            <w:rPr>
              <w:b/>
              <w:color w:val="808080" w:themeColor="background1" w:themeShade="80"/>
              <w:sz w:val="18"/>
              <w:szCs w:val="18"/>
              <w:lang w:val="fr-FR"/>
            </w:rPr>
            <w:t>Service :</w:t>
          </w:r>
        </w:p>
      </w:tc>
      <w:tc>
        <w:tcPr>
          <w:tcW w:w="2984" w:type="dxa"/>
          <w:tcBorders>
            <w:top w:val="single" w:sz="4" w:space="0" w:color="auto"/>
          </w:tcBorders>
        </w:tcPr>
        <w:p w14:paraId="4471D9EE" w14:textId="1B6175E2" w:rsidR="00C44CD5" w:rsidRPr="00C55B5D" w:rsidRDefault="00C44CD5" w:rsidP="00C44CD5">
          <w:pPr>
            <w:pStyle w:val="Header"/>
            <w:rPr>
              <w:color w:val="808080" w:themeColor="background1" w:themeShade="80"/>
              <w:sz w:val="18"/>
              <w:szCs w:val="18"/>
              <w:lang w:val="fr-FR"/>
            </w:rPr>
          </w:pPr>
          <w:r>
            <w:rPr>
              <w:color w:val="808080" w:themeColor="background1" w:themeShade="80"/>
              <w:sz w:val="18"/>
              <w:szCs w:val="18"/>
              <w:lang w:val="fr-FR"/>
            </w:rPr>
            <w:t>SCUBA</w:t>
          </w:r>
        </w:p>
      </w:tc>
      <w:tc>
        <w:tcPr>
          <w:tcW w:w="1913" w:type="dxa"/>
          <w:tcBorders>
            <w:top w:val="single" w:sz="4" w:space="0" w:color="auto"/>
          </w:tcBorders>
        </w:tcPr>
        <w:p w14:paraId="5EC26357" w14:textId="77777777" w:rsidR="00C44CD5" w:rsidRPr="00C55B5D" w:rsidRDefault="00C44CD5" w:rsidP="00C44CD5">
          <w:pPr>
            <w:pStyle w:val="Header"/>
            <w:jc w:val="right"/>
            <w:rPr>
              <w:b/>
              <w:color w:val="808080" w:themeColor="background1" w:themeShade="80"/>
              <w:sz w:val="18"/>
              <w:szCs w:val="18"/>
              <w:lang w:val="fr-FR"/>
            </w:rPr>
          </w:pPr>
          <w:r>
            <w:rPr>
              <w:b/>
              <w:color w:val="808080" w:themeColor="background1" w:themeShade="80"/>
              <w:sz w:val="18"/>
              <w:szCs w:val="18"/>
              <w:lang w:val="fr-FR"/>
            </w:rPr>
            <w:t>Date :</w:t>
          </w:r>
        </w:p>
      </w:tc>
      <w:tc>
        <w:tcPr>
          <w:tcW w:w="2476" w:type="dxa"/>
          <w:tcBorders>
            <w:top w:val="single" w:sz="4" w:space="0" w:color="auto"/>
          </w:tcBorders>
        </w:tcPr>
        <w:p w14:paraId="6269DF50" w14:textId="69517695" w:rsidR="00C44CD5" w:rsidRPr="00C55B5D" w:rsidRDefault="003E5874" w:rsidP="00C44CD5">
          <w:pPr>
            <w:pStyle w:val="Header"/>
            <w:rPr>
              <w:color w:val="808080" w:themeColor="background1" w:themeShade="80"/>
              <w:sz w:val="18"/>
              <w:szCs w:val="18"/>
              <w:lang w:val="fr-FR"/>
            </w:rPr>
          </w:pPr>
          <w:r>
            <w:rPr>
              <w:color w:val="808080" w:themeColor="background1" w:themeShade="80"/>
              <w:sz w:val="18"/>
              <w:szCs w:val="18"/>
              <w:lang w:val="fr-FR"/>
            </w:rPr>
            <w:t>13</w:t>
          </w:r>
          <w:r w:rsidR="00C44CD5">
            <w:rPr>
              <w:color w:val="808080" w:themeColor="background1" w:themeShade="80"/>
              <w:sz w:val="18"/>
              <w:szCs w:val="18"/>
              <w:lang w:val="fr-FR"/>
            </w:rPr>
            <w:t>/06/2025</w:t>
          </w:r>
        </w:p>
      </w:tc>
    </w:tr>
    <w:tr w:rsidR="003D7888" w:rsidRPr="00C55B5D" w14:paraId="4D6B314F" w14:textId="77777777" w:rsidTr="00A17167">
      <w:tc>
        <w:tcPr>
          <w:tcW w:w="2545" w:type="dxa"/>
        </w:tcPr>
        <w:p w14:paraId="76261D46" w14:textId="77777777" w:rsidR="003D7888" w:rsidRPr="00C55B5D" w:rsidRDefault="003D7888" w:rsidP="003D7888">
          <w:pPr>
            <w:pStyle w:val="Header"/>
            <w:jc w:val="right"/>
            <w:rPr>
              <w:b/>
              <w:color w:val="808080" w:themeColor="background1" w:themeShade="80"/>
              <w:sz w:val="18"/>
              <w:szCs w:val="18"/>
              <w:lang w:val="fr-FR"/>
            </w:rPr>
          </w:pPr>
          <w:r>
            <w:rPr>
              <w:b/>
              <w:color w:val="808080" w:themeColor="background1" w:themeShade="80"/>
              <w:sz w:val="18"/>
              <w:szCs w:val="18"/>
              <w:lang w:val="fr-FR"/>
            </w:rPr>
            <w:t xml:space="preserve">Personne de contact </w:t>
          </w:r>
          <w:r w:rsidRPr="00C55B5D">
            <w:rPr>
              <w:b/>
              <w:color w:val="808080" w:themeColor="background1" w:themeShade="80"/>
              <w:sz w:val="18"/>
              <w:szCs w:val="18"/>
              <w:lang w:val="fr-FR"/>
            </w:rPr>
            <w:t>:</w:t>
          </w:r>
        </w:p>
      </w:tc>
      <w:tc>
        <w:tcPr>
          <w:tcW w:w="2984" w:type="dxa"/>
        </w:tcPr>
        <w:p w14:paraId="2F3DED02" w14:textId="60D01E76" w:rsidR="003D7888" w:rsidRPr="004A2C83" w:rsidRDefault="004A2C83" w:rsidP="003D7888">
          <w:pPr>
            <w:pStyle w:val="Header"/>
            <w:rPr>
              <w:color w:val="808080" w:themeColor="background1" w:themeShade="80"/>
              <w:sz w:val="18"/>
              <w:szCs w:val="18"/>
            </w:rPr>
          </w:pPr>
          <w:r w:rsidRPr="004A2C83">
            <w:rPr>
              <w:color w:val="808080" w:themeColor="background1" w:themeShade="80"/>
              <w:sz w:val="18"/>
              <w:szCs w:val="18"/>
            </w:rPr>
            <w:t>Anita Opfergelt et Noémie Wo</w:t>
          </w:r>
          <w:r>
            <w:rPr>
              <w:color w:val="808080" w:themeColor="background1" w:themeShade="80"/>
              <w:sz w:val="18"/>
              <w:szCs w:val="18"/>
            </w:rPr>
            <w:t>uters</w:t>
          </w:r>
        </w:p>
      </w:tc>
      <w:tc>
        <w:tcPr>
          <w:tcW w:w="1913" w:type="dxa"/>
        </w:tcPr>
        <w:p w14:paraId="75BA32D3" w14:textId="77777777" w:rsidR="003D7888" w:rsidRPr="00C55B5D" w:rsidRDefault="003D7888" w:rsidP="003D7888">
          <w:pPr>
            <w:pStyle w:val="Header"/>
            <w:jc w:val="right"/>
            <w:rPr>
              <w:b/>
              <w:color w:val="808080" w:themeColor="background1" w:themeShade="80"/>
              <w:sz w:val="18"/>
              <w:szCs w:val="18"/>
              <w:lang w:val="fr-FR"/>
            </w:rPr>
          </w:pPr>
          <w:r w:rsidRPr="00C55B5D">
            <w:rPr>
              <w:b/>
              <w:color w:val="808080" w:themeColor="background1" w:themeShade="80"/>
              <w:sz w:val="18"/>
              <w:szCs w:val="18"/>
              <w:lang w:val="fr-FR"/>
            </w:rPr>
            <w:t>Annexe(s):</w:t>
          </w:r>
        </w:p>
      </w:tc>
      <w:tc>
        <w:tcPr>
          <w:tcW w:w="2476" w:type="dxa"/>
        </w:tcPr>
        <w:p w14:paraId="033CC556" w14:textId="77777777" w:rsidR="003D7888" w:rsidRPr="00C55B5D" w:rsidRDefault="003D7888" w:rsidP="003D7888">
          <w:pPr>
            <w:pStyle w:val="Header"/>
            <w:rPr>
              <w:color w:val="808080" w:themeColor="background1" w:themeShade="80"/>
              <w:sz w:val="18"/>
              <w:szCs w:val="18"/>
              <w:lang w:val="fr-FR"/>
            </w:rPr>
          </w:pPr>
        </w:p>
      </w:tc>
    </w:tr>
    <w:tr w:rsidR="003D7888" w:rsidRPr="00C55B5D" w14:paraId="19707CA0" w14:textId="77777777" w:rsidTr="00A17167">
      <w:tc>
        <w:tcPr>
          <w:tcW w:w="2545" w:type="dxa"/>
        </w:tcPr>
        <w:p w14:paraId="244F7EF7" w14:textId="77777777" w:rsidR="003D7888" w:rsidRPr="00C55B5D" w:rsidRDefault="003D7888" w:rsidP="003D7888">
          <w:pPr>
            <w:pStyle w:val="Header"/>
            <w:jc w:val="right"/>
            <w:rPr>
              <w:b/>
              <w:color w:val="808080" w:themeColor="background1" w:themeShade="80"/>
              <w:sz w:val="18"/>
              <w:szCs w:val="18"/>
              <w:lang w:val="fr-FR"/>
            </w:rPr>
          </w:pPr>
          <w:r>
            <w:rPr>
              <w:b/>
              <w:color w:val="808080" w:themeColor="background1" w:themeShade="80"/>
              <w:sz w:val="18"/>
              <w:szCs w:val="18"/>
              <w:lang w:val="fr-FR"/>
            </w:rPr>
            <w:t xml:space="preserve">Notre </w:t>
          </w:r>
          <w:r w:rsidRPr="00C55B5D">
            <w:rPr>
              <w:b/>
              <w:color w:val="808080" w:themeColor="background1" w:themeShade="80"/>
              <w:sz w:val="18"/>
              <w:szCs w:val="18"/>
              <w:lang w:val="fr-FR"/>
            </w:rPr>
            <w:t>référence</w:t>
          </w:r>
          <w:r>
            <w:rPr>
              <w:b/>
              <w:color w:val="808080" w:themeColor="background1" w:themeShade="80"/>
              <w:sz w:val="18"/>
              <w:szCs w:val="18"/>
              <w:lang w:val="fr-FR"/>
            </w:rPr>
            <w:t xml:space="preserve"> </w:t>
          </w:r>
          <w:r w:rsidRPr="00C55B5D">
            <w:rPr>
              <w:b/>
              <w:color w:val="808080" w:themeColor="background1" w:themeShade="80"/>
              <w:sz w:val="18"/>
              <w:szCs w:val="18"/>
              <w:lang w:val="fr-FR"/>
            </w:rPr>
            <w:t xml:space="preserve">: </w:t>
          </w:r>
        </w:p>
      </w:tc>
      <w:tc>
        <w:tcPr>
          <w:tcW w:w="2984" w:type="dxa"/>
        </w:tcPr>
        <w:p w14:paraId="18C69D5A" w14:textId="77777777" w:rsidR="003D7888" w:rsidRPr="00C55B5D" w:rsidRDefault="003D7888" w:rsidP="003D7888">
          <w:pPr>
            <w:pStyle w:val="Header"/>
            <w:rPr>
              <w:color w:val="808080" w:themeColor="background1" w:themeShade="80"/>
              <w:sz w:val="18"/>
              <w:szCs w:val="18"/>
              <w:lang w:val="fr-FR"/>
            </w:rPr>
          </w:pPr>
        </w:p>
      </w:tc>
      <w:tc>
        <w:tcPr>
          <w:tcW w:w="1913" w:type="dxa"/>
        </w:tcPr>
        <w:p w14:paraId="168F5473" w14:textId="77777777" w:rsidR="003D7888" w:rsidRPr="00C55B5D" w:rsidRDefault="003D7888" w:rsidP="003D7888">
          <w:pPr>
            <w:pStyle w:val="Header"/>
            <w:jc w:val="right"/>
            <w:rPr>
              <w:b/>
              <w:color w:val="808080" w:themeColor="background1" w:themeShade="80"/>
              <w:sz w:val="18"/>
              <w:szCs w:val="18"/>
              <w:lang w:val="fr-FR"/>
            </w:rPr>
          </w:pPr>
        </w:p>
      </w:tc>
      <w:tc>
        <w:tcPr>
          <w:tcW w:w="2476" w:type="dxa"/>
        </w:tcPr>
        <w:p w14:paraId="13A76F96" w14:textId="77777777" w:rsidR="003D7888" w:rsidRPr="00C55B5D" w:rsidRDefault="003D7888" w:rsidP="003D7888">
          <w:pPr>
            <w:pStyle w:val="Header"/>
            <w:rPr>
              <w:color w:val="808080" w:themeColor="background1" w:themeShade="80"/>
              <w:sz w:val="18"/>
              <w:szCs w:val="18"/>
              <w:lang w:val="fr-FR"/>
            </w:rPr>
          </w:pPr>
        </w:p>
      </w:tc>
    </w:tr>
    <w:tr w:rsidR="003D7888" w:rsidRPr="007268A8" w14:paraId="673F54AE" w14:textId="77777777" w:rsidTr="00A17167">
      <w:tc>
        <w:tcPr>
          <w:tcW w:w="2545" w:type="dxa"/>
          <w:tcBorders>
            <w:bottom w:val="single" w:sz="4" w:space="0" w:color="auto"/>
          </w:tcBorders>
        </w:tcPr>
        <w:p w14:paraId="0B69C345" w14:textId="77777777" w:rsidR="003D7888" w:rsidRPr="00C55B5D" w:rsidRDefault="003D7888" w:rsidP="003D7888">
          <w:pPr>
            <w:pStyle w:val="Header"/>
            <w:jc w:val="right"/>
            <w:rPr>
              <w:b/>
              <w:color w:val="808080" w:themeColor="background1" w:themeShade="80"/>
              <w:sz w:val="18"/>
              <w:szCs w:val="18"/>
              <w:lang w:val="fr-FR"/>
            </w:rPr>
          </w:pPr>
          <w:r w:rsidRPr="00C55B5D">
            <w:rPr>
              <w:b/>
              <w:color w:val="808080" w:themeColor="background1" w:themeShade="80"/>
              <w:sz w:val="18"/>
              <w:szCs w:val="18"/>
              <w:lang w:val="fr-FR"/>
            </w:rPr>
            <w:t>Sujet</w:t>
          </w:r>
          <w:r>
            <w:rPr>
              <w:b/>
              <w:color w:val="808080" w:themeColor="background1" w:themeShade="80"/>
              <w:sz w:val="18"/>
              <w:szCs w:val="18"/>
              <w:lang w:val="fr-FR"/>
            </w:rPr>
            <w:t xml:space="preserve"> </w:t>
          </w:r>
          <w:r w:rsidRPr="00C55B5D">
            <w:rPr>
              <w:b/>
              <w:color w:val="808080" w:themeColor="background1" w:themeShade="80"/>
              <w:sz w:val="18"/>
              <w:szCs w:val="18"/>
              <w:lang w:val="fr-FR"/>
            </w:rPr>
            <w:t>:</w:t>
          </w:r>
        </w:p>
      </w:tc>
      <w:tc>
        <w:tcPr>
          <w:tcW w:w="7373" w:type="dxa"/>
          <w:gridSpan w:val="3"/>
          <w:tcBorders>
            <w:bottom w:val="single" w:sz="4" w:space="0" w:color="auto"/>
          </w:tcBorders>
        </w:tcPr>
        <w:p w14:paraId="7374E9EE" w14:textId="557DE37A" w:rsidR="003D7888" w:rsidRPr="00C55B5D" w:rsidRDefault="00F358A0" w:rsidP="00F358A0">
          <w:pPr>
            <w:pStyle w:val="Header"/>
            <w:rPr>
              <w:color w:val="808080" w:themeColor="background1" w:themeShade="80"/>
              <w:sz w:val="18"/>
              <w:szCs w:val="18"/>
              <w:lang w:val="fr-FR"/>
            </w:rPr>
          </w:pPr>
          <w:r>
            <w:rPr>
              <w:color w:val="808080" w:themeColor="background1" w:themeShade="80"/>
              <w:sz w:val="18"/>
              <w:szCs w:val="18"/>
              <w:lang w:val="fr-FR"/>
            </w:rPr>
            <w:t xml:space="preserve">Fiche préparatoire Plan fédéral de lutte contre la pauvreté </w:t>
          </w:r>
          <w:r w:rsidR="00235F34">
            <w:rPr>
              <w:color w:val="808080" w:themeColor="background1" w:themeShade="80"/>
              <w:sz w:val="18"/>
              <w:szCs w:val="18"/>
              <w:lang w:val="fr-FR"/>
            </w:rPr>
            <w:t xml:space="preserve">– </w:t>
          </w:r>
          <w:r w:rsidR="00C44CD5">
            <w:rPr>
              <w:color w:val="808080" w:themeColor="background1" w:themeShade="80"/>
              <w:sz w:val="18"/>
              <w:szCs w:val="18"/>
              <w:lang w:val="fr-FR"/>
            </w:rPr>
            <w:t>thématique « </w:t>
          </w:r>
          <w:r w:rsidR="00235F34">
            <w:rPr>
              <w:color w:val="808080" w:themeColor="background1" w:themeShade="80"/>
              <w:sz w:val="18"/>
              <w:szCs w:val="18"/>
              <w:lang w:val="fr-FR"/>
            </w:rPr>
            <w:t>intégration sociale et emploi</w:t>
          </w:r>
          <w:r w:rsidR="00C44CD5">
            <w:rPr>
              <w:color w:val="808080" w:themeColor="background1" w:themeShade="80"/>
              <w:sz w:val="18"/>
              <w:szCs w:val="18"/>
              <w:lang w:val="fr-FR"/>
            </w:rPr>
            <w:t> »</w:t>
          </w:r>
        </w:p>
      </w:tc>
    </w:tr>
  </w:tbl>
  <w:p w14:paraId="03A095EB" w14:textId="77777777" w:rsidR="00F14040" w:rsidRPr="00C55B5D" w:rsidRDefault="00F14040">
    <w:pPr>
      <w:pStyle w:val="Header"/>
      <w:rPr>
        <w:color w:val="808080" w:themeColor="background1" w:themeShade="80"/>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C33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72B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B0BD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E66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76D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20B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ADA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220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85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40F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B753BF"/>
    <w:multiLevelType w:val="hybridMultilevel"/>
    <w:tmpl w:val="3E12BD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2892493"/>
    <w:multiLevelType w:val="hybridMultilevel"/>
    <w:tmpl w:val="ECCC0174"/>
    <w:lvl w:ilvl="0" w:tplc="312E15FC">
      <w:start w:val="4"/>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953BB3"/>
    <w:multiLevelType w:val="hybridMultilevel"/>
    <w:tmpl w:val="876832BC"/>
    <w:lvl w:ilvl="0" w:tplc="8030207C">
      <w:numFmt w:val="bullet"/>
      <w:lvlText w:val="-"/>
      <w:lvlJc w:val="left"/>
      <w:pPr>
        <w:ind w:left="720" w:hanging="360"/>
      </w:pPr>
      <w:rPr>
        <w:rFonts w:ascii="Aptos Narrow" w:eastAsia="Times New Roman" w:hAnsi="Aptos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3AC44DB"/>
    <w:multiLevelType w:val="hybridMultilevel"/>
    <w:tmpl w:val="980A529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59F83CE9"/>
    <w:multiLevelType w:val="hybridMultilevel"/>
    <w:tmpl w:val="8DD0C8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96178DD"/>
    <w:multiLevelType w:val="hybridMultilevel"/>
    <w:tmpl w:val="50B0D132"/>
    <w:lvl w:ilvl="0" w:tplc="F29AC77A">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76923243">
    <w:abstractNumId w:val="9"/>
  </w:num>
  <w:num w:numId="2" w16cid:durableId="560287868">
    <w:abstractNumId w:val="7"/>
  </w:num>
  <w:num w:numId="3" w16cid:durableId="647632847">
    <w:abstractNumId w:val="6"/>
  </w:num>
  <w:num w:numId="4" w16cid:durableId="128784459">
    <w:abstractNumId w:val="5"/>
  </w:num>
  <w:num w:numId="5" w16cid:durableId="2030444138">
    <w:abstractNumId w:val="4"/>
  </w:num>
  <w:num w:numId="6" w16cid:durableId="687368203">
    <w:abstractNumId w:val="8"/>
  </w:num>
  <w:num w:numId="7" w16cid:durableId="877618721">
    <w:abstractNumId w:val="3"/>
  </w:num>
  <w:num w:numId="8" w16cid:durableId="795367244">
    <w:abstractNumId w:val="2"/>
  </w:num>
  <w:num w:numId="9" w16cid:durableId="1791434293">
    <w:abstractNumId w:val="1"/>
  </w:num>
  <w:num w:numId="10" w16cid:durableId="2003728573">
    <w:abstractNumId w:val="0"/>
  </w:num>
  <w:num w:numId="11" w16cid:durableId="1826042861">
    <w:abstractNumId w:val="14"/>
  </w:num>
  <w:num w:numId="12" w16cid:durableId="916938953">
    <w:abstractNumId w:val="12"/>
  </w:num>
  <w:num w:numId="13" w16cid:durableId="1021855431">
    <w:abstractNumId w:val="15"/>
  </w:num>
  <w:num w:numId="14" w16cid:durableId="1478717372">
    <w:abstractNumId w:val="13"/>
  </w:num>
  <w:num w:numId="15" w16cid:durableId="415640342">
    <w:abstractNumId w:val="10"/>
  </w:num>
  <w:num w:numId="16" w16cid:durableId="915626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2922"/>
    <w:rsid w:val="00014BFA"/>
    <w:rsid w:val="000457A2"/>
    <w:rsid w:val="00054541"/>
    <w:rsid w:val="0009365C"/>
    <w:rsid w:val="00112D95"/>
    <w:rsid w:val="0014097B"/>
    <w:rsid w:val="001D36CA"/>
    <w:rsid w:val="001D3E5A"/>
    <w:rsid w:val="001E6F2B"/>
    <w:rsid w:val="00233ADC"/>
    <w:rsid w:val="00235F34"/>
    <w:rsid w:val="003265A7"/>
    <w:rsid w:val="00341341"/>
    <w:rsid w:val="003757BF"/>
    <w:rsid w:val="003C295E"/>
    <w:rsid w:val="003D7888"/>
    <w:rsid w:val="003E04E2"/>
    <w:rsid w:val="003E5874"/>
    <w:rsid w:val="00412797"/>
    <w:rsid w:val="004868EC"/>
    <w:rsid w:val="00497433"/>
    <w:rsid w:val="004A2C83"/>
    <w:rsid w:val="004A33B9"/>
    <w:rsid w:val="004C082D"/>
    <w:rsid w:val="004D624C"/>
    <w:rsid w:val="004E42C9"/>
    <w:rsid w:val="0052376A"/>
    <w:rsid w:val="00553380"/>
    <w:rsid w:val="00573E16"/>
    <w:rsid w:val="00587F67"/>
    <w:rsid w:val="005A6803"/>
    <w:rsid w:val="005A6F59"/>
    <w:rsid w:val="005D6F9D"/>
    <w:rsid w:val="0062271E"/>
    <w:rsid w:val="00637081"/>
    <w:rsid w:val="0066406F"/>
    <w:rsid w:val="00675650"/>
    <w:rsid w:val="006A3DA1"/>
    <w:rsid w:val="006A55F9"/>
    <w:rsid w:val="006C3F97"/>
    <w:rsid w:val="0070660F"/>
    <w:rsid w:val="007268A8"/>
    <w:rsid w:val="007B0DC0"/>
    <w:rsid w:val="007C1626"/>
    <w:rsid w:val="007C1D98"/>
    <w:rsid w:val="007C3BE6"/>
    <w:rsid w:val="007C74D5"/>
    <w:rsid w:val="007E11F7"/>
    <w:rsid w:val="007F6441"/>
    <w:rsid w:val="0080289E"/>
    <w:rsid w:val="00837E32"/>
    <w:rsid w:val="008639A4"/>
    <w:rsid w:val="008714E0"/>
    <w:rsid w:val="00890E8A"/>
    <w:rsid w:val="008C5014"/>
    <w:rsid w:val="008E1480"/>
    <w:rsid w:val="00945F19"/>
    <w:rsid w:val="0096318C"/>
    <w:rsid w:val="009951A7"/>
    <w:rsid w:val="009A1523"/>
    <w:rsid w:val="009B1C92"/>
    <w:rsid w:val="009C4862"/>
    <w:rsid w:val="009E4E09"/>
    <w:rsid w:val="009E5430"/>
    <w:rsid w:val="00A14CE7"/>
    <w:rsid w:val="00A17167"/>
    <w:rsid w:val="00A41A73"/>
    <w:rsid w:val="00A519F1"/>
    <w:rsid w:val="00A60745"/>
    <w:rsid w:val="00A64ACA"/>
    <w:rsid w:val="00AF2155"/>
    <w:rsid w:val="00B23866"/>
    <w:rsid w:val="00B375A1"/>
    <w:rsid w:val="00B530E6"/>
    <w:rsid w:val="00B85181"/>
    <w:rsid w:val="00B92E73"/>
    <w:rsid w:val="00BB0D9B"/>
    <w:rsid w:val="00C20C6A"/>
    <w:rsid w:val="00C31192"/>
    <w:rsid w:val="00C44CD5"/>
    <w:rsid w:val="00C46234"/>
    <w:rsid w:val="00C55B5D"/>
    <w:rsid w:val="00C63F9F"/>
    <w:rsid w:val="00CB3B14"/>
    <w:rsid w:val="00D20A23"/>
    <w:rsid w:val="00D40B29"/>
    <w:rsid w:val="00D7163A"/>
    <w:rsid w:val="00D767FF"/>
    <w:rsid w:val="00D91EF4"/>
    <w:rsid w:val="00DE2DB9"/>
    <w:rsid w:val="00DE3832"/>
    <w:rsid w:val="00DF4D99"/>
    <w:rsid w:val="00E31C3A"/>
    <w:rsid w:val="00E52CA5"/>
    <w:rsid w:val="00E53096"/>
    <w:rsid w:val="00EA4079"/>
    <w:rsid w:val="00EB7694"/>
    <w:rsid w:val="00EE1087"/>
    <w:rsid w:val="00F14040"/>
    <w:rsid w:val="00F358A0"/>
    <w:rsid w:val="00F41E67"/>
    <w:rsid w:val="00FD5D39"/>
    <w:rsid w:val="00FF2F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DA20A7"/>
  <w15:chartTrackingRefBased/>
  <w15:docId w15:val="{4EADDA4F-A15C-4DD2-A4F7-116E08F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62"/>
  </w:style>
  <w:style w:type="paragraph" w:styleId="Heading1">
    <w:name w:val="heading 1"/>
    <w:basedOn w:val="Normal"/>
    <w:next w:val="Normal"/>
    <w:link w:val="Heading1Char"/>
    <w:uiPriority w:val="9"/>
    <w:qFormat/>
    <w:rsid w:val="009C4862"/>
    <w:pPr>
      <w:keepNext/>
      <w:keepLines/>
      <w:spacing w:before="480" w:after="0"/>
      <w:outlineLvl w:val="0"/>
    </w:pPr>
    <w:rPr>
      <w:rFonts w:asciiTheme="majorHAnsi" w:eastAsiaTheme="majorEastAsia" w:hAnsiTheme="majorHAnsi" w:cstheme="majorBidi"/>
      <w:b/>
      <w:bCs/>
      <w:color w:val="FFC000" w:themeColor="accent4"/>
      <w:sz w:val="28"/>
      <w:szCs w:val="28"/>
    </w:rPr>
  </w:style>
  <w:style w:type="paragraph" w:styleId="Heading2">
    <w:name w:val="heading 2"/>
    <w:basedOn w:val="Normal"/>
    <w:next w:val="Normal"/>
    <w:link w:val="Heading2Char"/>
    <w:uiPriority w:val="9"/>
    <w:semiHidden/>
    <w:unhideWhenUsed/>
    <w:qFormat/>
    <w:rsid w:val="009C486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C4862"/>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C4862"/>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C50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862"/>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62"/>
    <w:rPr>
      <w:rFonts w:asciiTheme="majorHAnsi" w:eastAsiaTheme="majorEastAsia" w:hAnsiTheme="majorHAnsi" w:cstheme="majorBidi"/>
      <w:b/>
      <w:bCs/>
      <w:color w:val="FFC000" w:themeColor="accent4"/>
      <w:sz w:val="28"/>
      <w:szCs w:val="28"/>
    </w:rPr>
  </w:style>
  <w:style w:type="character" w:customStyle="1" w:styleId="Heading2Char">
    <w:name w:val="Heading 2 Char"/>
    <w:basedOn w:val="DefaultParagraphFont"/>
    <w:link w:val="Heading2"/>
    <w:uiPriority w:val="9"/>
    <w:semiHidden/>
    <w:rsid w:val="009C486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C48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C48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C50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50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5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48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C50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C4862"/>
    <w:pPr>
      <w:spacing w:line="240" w:lineRule="auto"/>
    </w:pPr>
    <w:rPr>
      <w:b/>
      <w:bCs/>
      <w:color w:val="FFC000" w:themeColor="accent4"/>
      <w:sz w:val="18"/>
      <w:szCs w:val="18"/>
    </w:rPr>
  </w:style>
  <w:style w:type="paragraph" w:styleId="Title">
    <w:name w:val="Title"/>
    <w:basedOn w:val="Normal"/>
    <w:next w:val="Normal"/>
    <w:link w:val="TitleChar"/>
    <w:uiPriority w:val="10"/>
    <w:qFormat/>
    <w:rsid w:val="009C4862"/>
    <w:pPr>
      <w:pBdr>
        <w:bottom w:val="single" w:sz="8" w:space="4" w:color="4472C4" w:themeColor="accent1"/>
      </w:pBdr>
      <w:spacing w:after="300" w:line="240" w:lineRule="auto"/>
      <w:contextualSpacing/>
    </w:pPr>
    <w:rPr>
      <w:rFonts w:asciiTheme="majorHAnsi" w:eastAsiaTheme="majorEastAsia" w:hAnsiTheme="majorHAnsi" w:cstheme="majorBidi"/>
      <w:color w:val="FFC000" w:themeColor="accent4"/>
      <w:spacing w:val="5"/>
      <w:sz w:val="52"/>
      <w:szCs w:val="52"/>
    </w:rPr>
  </w:style>
  <w:style w:type="character" w:customStyle="1" w:styleId="TitleChar">
    <w:name w:val="Title Char"/>
    <w:basedOn w:val="DefaultParagraphFont"/>
    <w:link w:val="Title"/>
    <w:uiPriority w:val="10"/>
    <w:rsid w:val="009C4862"/>
    <w:rPr>
      <w:rFonts w:asciiTheme="majorHAnsi" w:eastAsiaTheme="majorEastAsia" w:hAnsiTheme="majorHAnsi" w:cstheme="majorBidi"/>
      <w:color w:val="FFC000" w:themeColor="accent4"/>
      <w:spacing w:val="5"/>
      <w:sz w:val="52"/>
      <w:szCs w:val="52"/>
    </w:rPr>
  </w:style>
  <w:style w:type="paragraph" w:styleId="Subtitle">
    <w:name w:val="Subtitle"/>
    <w:basedOn w:val="Normal"/>
    <w:next w:val="Normal"/>
    <w:link w:val="SubtitleChar"/>
    <w:uiPriority w:val="11"/>
    <w:qFormat/>
    <w:rsid w:val="009C4862"/>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9C4862"/>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8C5014"/>
    <w:rPr>
      <w:b/>
      <w:bCs/>
    </w:rPr>
  </w:style>
  <w:style w:type="character" w:styleId="Emphasis">
    <w:name w:val="Emphasis"/>
    <w:basedOn w:val="DefaultParagraphFont"/>
    <w:uiPriority w:val="20"/>
    <w:qFormat/>
    <w:rsid w:val="008C5014"/>
    <w:rPr>
      <w:i/>
      <w:iCs/>
    </w:rPr>
  </w:style>
  <w:style w:type="paragraph" w:styleId="NoSpacing">
    <w:name w:val="No Spacing"/>
    <w:uiPriority w:val="1"/>
    <w:qFormat/>
    <w:rsid w:val="008C5014"/>
    <w:pPr>
      <w:spacing w:after="0" w:line="240" w:lineRule="auto"/>
    </w:pPr>
  </w:style>
  <w:style w:type="paragraph" w:styleId="Quote">
    <w:name w:val="Quote"/>
    <w:basedOn w:val="Normal"/>
    <w:next w:val="Normal"/>
    <w:link w:val="QuoteChar"/>
    <w:uiPriority w:val="29"/>
    <w:qFormat/>
    <w:rsid w:val="008C5014"/>
    <w:rPr>
      <w:i/>
      <w:iCs/>
      <w:color w:val="000000" w:themeColor="text1"/>
    </w:rPr>
  </w:style>
  <w:style w:type="character" w:customStyle="1" w:styleId="QuoteChar">
    <w:name w:val="Quote Char"/>
    <w:basedOn w:val="DefaultParagraphFont"/>
    <w:link w:val="Quote"/>
    <w:uiPriority w:val="29"/>
    <w:rsid w:val="008C5014"/>
    <w:rPr>
      <w:i/>
      <w:iCs/>
      <w:color w:val="000000" w:themeColor="text1"/>
    </w:rPr>
  </w:style>
  <w:style w:type="paragraph" w:styleId="IntenseQuote">
    <w:name w:val="Intense Quote"/>
    <w:basedOn w:val="Normal"/>
    <w:next w:val="Normal"/>
    <w:link w:val="IntenseQuoteChar"/>
    <w:uiPriority w:val="30"/>
    <w:qFormat/>
    <w:rsid w:val="009C4862"/>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C4862"/>
    <w:rPr>
      <w:b/>
      <w:bCs/>
      <w:i/>
      <w:iCs/>
    </w:rPr>
  </w:style>
  <w:style w:type="character" w:styleId="SubtleEmphasis">
    <w:name w:val="Subtle Emphasis"/>
    <w:basedOn w:val="DefaultParagraphFont"/>
    <w:uiPriority w:val="19"/>
    <w:qFormat/>
    <w:rsid w:val="008C5014"/>
    <w:rPr>
      <w:i/>
      <w:iCs/>
      <w:color w:val="808080" w:themeColor="text1" w:themeTint="7F"/>
    </w:rPr>
  </w:style>
  <w:style w:type="character" w:styleId="IntenseEmphasis">
    <w:name w:val="Intense Emphasis"/>
    <w:basedOn w:val="DefaultParagraphFont"/>
    <w:uiPriority w:val="21"/>
    <w:qFormat/>
    <w:rsid w:val="009C4862"/>
    <w:rPr>
      <w:b/>
      <w:bCs/>
      <w:i/>
      <w:iCs/>
      <w:color w:val="auto"/>
    </w:rPr>
  </w:style>
  <w:style w:type="character" w:styleId="SubtleReference">
    <w:name w:val="Subtle Reference"/>
    <w:basedOn w:val="DefaultParagraphFont"/>
    <w:uiPriority w:val="31"/>
    <w:qFormat/>
    <w:rsid w:val="008C5014"/>
    <w:rPr>
      <w:smallCaps/>
      <w:color w:val="ED7D31" w:themeColor="accent2"/>
      <w:u w:val="single"/>
    </w:rPr>
  </w:style>
  <w:style w:type="character" w:styleId="IntenseReference">
    <w:name w:val="Intense Reference"/>
    <w:basedOn w:val="DefaultParagraphFont"/>
    <w:uiPriority w:val="32"/>
    <w:qFormat/>
    <w:rsid w:val="008C5014"/>
    <w:rPr>
      <w:b/>
      <w:bCs/>
      <w:smallCaps/>
      <w:color w:val="ED7D31" w:themeColor="accent2"/>
      <w:spacing w:val="5"/>
      <w:u w:val="single"/>
    </w:rPr>
  </w:style>
  <w:style w:type="character" w:styleId="BookTitle">
    <w:name w:val="Book Title"/>
    <w:basedOn w:val="DefaultParagraphFont"/>
    <w:uiPriority w:val="33"/>
    <w:qFormat/>
    <w:rsid w:val="008C5014"/>
    <w:rPr>
      <w:b/>
      <w:bCs/>
      <w:smallCaps/>
      <w:spacing w:val="5"/>
    </w:rPr>
  </w:style>
  <w:style w:type="paragraph" w:styleId="TOCHeading">
    <w:name w:val="TOC Heading"/>
    <w:basedOn w:val="Heading1"/>
    <w:next w:val="Normal"/>
    <w:uiPriority w:val="39"/>
    <w:semiHidden/>
    <w:unhideWhenUsed/>
    <w:qFormat/>
    <w:rsid w:val="008C5014"/>
    <w:pPr>
      <w:outlineLvl w:val="9"/>
    </w:pPr>
  </w:style>
  <w:style w:type="paragraph" w:styleId="Header">
    <w:name w:val="header"/>
    <w:basedOn w:val="Normal"/>
    <w:link w:val="HeaderChar"/>
    <w:uiPriority w:val="99"/>
    <w:unhideWhenUsed/>
    <w:rsid w:val="008C5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14"/>
  </w:style>
  <w:style w:type="paragraph" w:styleId="Footer">
    <w:name w:val="footer"/>
    <w:basedOn w:val="Normal"/>
    <w:link w:val="FooterChar"/>
    <w:uiPriority w:val="99"/>
    <w:unhideWhenUsed/>
    <w:rsid w:val="008C5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14"/>
  </w:style>
  <w:style w:type="character" w:styleId="Hyperlink">
    <w:name w:val="Hyperlink"/>
    <w:basedOn w:val="DefaultParagraphFont"/>
    <w:uiPriority w:val="99"/>
    <w:unhideWhenUsed/>
    <w:rsid w:val="008C5014"/>
    <w:rPr>
      <w:color w:val="0563C1" w:themeColor="hyperlink"/>
      <w:u w:val="single"/>
    </w:rPr>
  </w:style>
  <w:style w:type="character" w:styleId="UnresolvedMention">
    <w:name w:val="Unresolved Mention"/>
    <w:basedOn w:val="DefaultParagraphFont"/>
    <w:uiPriority w:val="99"/>
    <w:semiHidden/>
    <w:unhideWhenUsed/>
    <w:rsid w:val="008C5014"/>
    <w:rPr>
      <w:color w:val="605E5C"/>
      <w:shd w:val="clear" w:color="auto" w:fill="E1DFDD"/>
    </w:rPr>
  </w:style>
  <w:style w:type="table" w:styleId="TableGrid">
    <w:name w:val="Table Grid"/>
    <w:basedOn w:val="TableNormal"/>
    <w:uiPriority w:val="39"/>
    <w:rsid w:val="00F1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8A0"/>
    <w:pPr>
      <w:ind w:left="720"/>
      <w:contextualSpacing/>
    </w:pPr>
  </w:style>
  <w:style w:type="paragraph" w:styleId="FootnoteText">
    <w:name w:val="footnote text"/>
    <w:basedOn w:val="Normal"/>
    <w:link w:val="FootnoteTextChar"/>
    <w:uiPriority w:val="99"/>
    <w:semiHidden/>
    <w:unhideWhenUsed/>
    <w:rsid w:val="004868EC"/>
    <w:pPr>
      <w:spacing w:after="0" w:line="240" w:lineRule="auto"/>
    </w:pPr>
    <w:rPr>
      <w:rFonts w:eastAsiaTheme="minorHAnsi"/>
      <w:kern w:val="2"/>
      <w:sz w:val="20"/>
      <w:szCs w:val="20"/>
      <w:lang w:val="fr-BE"/>
      <w14:ligatures w14:val="standardContextual"/>
    </w:rPr>
  </w:style>
  <w:style w:type="character" w:customStyle="1" w:styleId="FootnoteTextChar">
    <w:name w:val="Footnote Text Char"/>
    <w:basedOn w:val="DefaultParagraphFont"/>
    <w:link w:val="FootnoteText"/>
    <w:uiPriority w:val="99"/>
    <w:semiHidden/>
    <w:rsid w:val="004868EC"/>
    <w:rPr>
      <w:rFonts w:eastAsiaTheme="minorHAnsi"/>
      <w:kern w:val="2"/>
      <w:sz w:val="20"/>
      <w:szCs w:val="20"/>
      <w:lang w:val="fr-BE"/>
      <w14:ligatures w14:val="standardContextual"/>
    </w:rPr>
  </w:style>
  <w:style w:type="character" w:styleId="FootnoteReference">
    <w:name w:val="footnote reference"/>
    <w:basedOn w:val="DefaultParagraphFont"/>
    <w:uiPriority w:val="99"/>
    <w:semiHidden/>
    <w:unhideWhenUsed/>
    <w:rsid w:val="004868EC"/>
    <w:rPr>
      <w:vertAlign w:val="superscript"/>
    </w:rPr>
  </w:style>
  <w:style w:type="character" w:styleId="FollowedHyperlink">
    <w:name w:val="FollowedHyperlink"/>
    <w:basedOn w:val="DefaultParagraphFont"/>
    <w:uiPriority w:val="99"/>
    <w:semiHidden/>
    <w:unhideWhenUsed/>
    <w:rsid w:val="00837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6322">
      <w:bodyDiv w:val="1"/>
      <w:marLeft w:val="0"/>
      <w:marRight w:val="0"/>
      <w:marTop w:val="0"/>
      <w:marBottom w:val="0"/>
      <w:divBdr>
        <w:top w:val="none" w:sz="0" w:space="0" w:color="auto"/>
        <w:left w:val="none" w:sz="0" w:space="0" w:color="auto"/>
        <w:bottom w:val="none" w:sz="0" w:space="0" w:color="auto"/>
        <w:right w:val="none" w:sz="0" w:space="0" w:color="auto"/>
      </w:divBdr>
    </w:div>
    <w:div w:id="415060655">
      <w:bodyDiv w:val="1"/>
      <w:marLeft w:val="0"/>
      <w:marRight w:val="0"/>
      <w:marTop w:val="0"/>
      <w:marBottom w:val="0"/>
      <w:divBdr>
        <w:top w:val="none" w:sz="0" w:space="0" w:color="auto"/>
        <w:left w:val="none" w:sz="0" w:space="0" w:color="auto"/>
        <w:bottom w:val="none" w:sz="0" w:space="0" w:color="auto"/>
        <w:right w:val="none" w:sz="0" w:space="0" w:color="auto"/>
      </w:divBdr>
    </w:div>
    <w:div w:id="681902134">
      <w:bodyDiv w:val="1"/>
      <w:marLeft w:val="0"/>
      <w:marRight w:val="0"/>
      <w:marTop w:val="0"/>
      <w:marBottom w:val="0"/>
      <w:divBdr>
        <w:top w:val="none" w:sz="0" w:space="0" w:color="auto"/>
        <w:left w:val="none" w:sz="0" w:space="0" w:color="auto"/>
        <w:bottom w:val="none" w:sz="0" w:space="0" w:color="auto"/>
        <w:right w:val="none" w:sz="0" w:space="0" w:color="auto"/>
      </w:divBdr>
    </w:div>
    <w:div w:id="20718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ndicators.be/fr/i/G08_NEE/Jeunes_non_scolaris%C3%A9s_et_sans_emploi_ni_formation_%28i44%2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mi-is.be" TargetMode="External"/><Relationship Id="rId2" Type="http://schemas.openxmlformats.org/officeDocument/2006/relationships/hyperlink" Target="mailto:question@mi-is.be"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False</openByDefault>
  <xsnScope>https://memopoint.yourict.be/dep</xsnScope>
</customXsn>
</file>

<file path=customXml/item4.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65N5PURSY6TZ-1575908691-356</_dlc_DocId>
    <_dlc_DocIdUrl xmlns="d2813aac-6709-4c27-9c90-71a57cea646f">
      <Url>https://memopoint.yourict.be/dep/com/_layouts/15/DocIdRedir.aspx?ID=65N5PURSY6TZ-1575908691-356</Url>
      <Description>65N5PURSY6TZ-1575908691-356</Description>
    </_dlc_DocIdUrl>
    <testurl xmlns="240484d1-ed06-403a-9cfd-a57903cb7e47">
      <Url xsi:nil="true"/>
      <Description xsi:nil="true"/>
    </testurl>
  </documentManagement>
</p:properties>
</file>

<file path=customXml/itemProps1.xml><?xml version="1.0" encoding="utf-8"?>
<ds:datastoreItem xmlns:ds="http://schemas.openxmlformats.org/officeDocument/2006/customXml" ds:itemID="{EB50013F-9B13-46BC-B944-5D5AC6F9371C}">
  <ds:schemaRefs>
    <ds:schemaRef ds:uri="http://schemas.microsoft.com/sharepoint/events"/>
  </ds:schemaRefs>
</ds:datastoreItem>
</file>

<file path=customXml/itemProps2.xml><?xml version="1.0" encoding="utf-8"?>
<ds:datastoreItem xmlns:ds="http://schemas.openxmlformats.org/officeDocument/2006/customXml" ds:itemID="{14AB5C94-11ED-4E79-B4FE-633FCC753E32}">
  <ds:schemaRefs>
    <ds:schemaRef ds:uri="http://schemas.openxmlformats.org/officeDocument/2006/bibliography"/>
  </ds:schemaRefs>
</ds:datastoreItem>
</file>

<file path=customXml/itemProps3.xml><?xml version="1.0" encoding="utf-8"?>
<ds:datastoreItem xmlns:ds="http://schemas.openxmlformats.org/officeDocument/2006/customXml" ds:itemID="{88D98776-A160-46C1-8542-B83C154A07A9}">
  <ds:schemaRefs>
    <ds:schemaRef ds:uri="http://schemas.microsoft.com/office/2006/metadata/customXsn"/>
  </ds:schemaRefs>
</ds:datastoreItem>
</file>

<file path=customXml/itemProps4.xml><?xml version="1.0" encoding="utf-8"?>
<ds:datastoreItem xmlns:ds="http://schemas.openxmlformats.org/officeDocument/2006/customXml" ds:itemID="{1547F896-FC68-4B14-AD69-E8586719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C0F58F-8C67-4F4D-9464-0F1717B18287}">
  <ds:schemaRefs>
    <ds:schemaRef ds:uri="http://schemas.microsoft.com/sharepoint/v3/contenttype/forms"/>
  </ds:schemaRefs>
</ds:datastoreItem>
</file>

<file path=customXml/itemProps6.xml><?xml version="1.0" encoding="utf-8"?>
<ds:datastoreItem xmlns:ds="http://schemas.openxmlformats.org/officeDocument/2006/customXml" ds:itemID="{3A2BF604-09FA-4DC1-BF72-CA7F63785E96}">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886</Words>
  <Characters>4879</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POD Maatschappelijke Integratie</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Anita Opfergelt</cp:lastModifiedBy>
  <cp:revision>21</cp:revision>
  <dcterms:created xsi:type="dcterms:W3CDTF">2025-05-19T12:03:00Z</dcterms:created>
  <dcterms:modified xsi:type="dcterms:W3CDTF">2025-06-13T07:37:00Z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9093518d-f7fe-44c0-856e-55629eca24c4</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