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0241CA03" w:rsidR="006A3DA1" w:rsidRPr="006A3DA1" w:rsidRDefault="006002A7" w:rsidP="006A3DA1">
      <w:pPr>
        <w:jc w:val="center"/>
        <w:rPr>
          <w:b/>
          <w:bCs/>
          <w:sz w:val="36"/>
          <w:szCs w:val="36"/>
          <w:u w:val="single"/>
          <w:lang w:val="fr-FR"/>
        </w:rPr>
      </w:pPr>
      <w:bookmarkStart w:id="0" w:name="_Hlk199840136"/>
      <w:bookmarkEnd w:id="0"/>
      <w:r>
        <w:rPr>
          <w:b/>
          <w:bCs/>
          <w:sz w:val="36"/>
          <w:szCs w:val="36"/>
          <w:u w:val="single"/>
          <w:lang w:val="fr-FR"/>
        </w:rPr>
        <w:t xml:space="preserve">Fiche préparatoire </w:t>
      </w:r>
      <w:proofErr w:type="gramStart"/>
      <w:r>
        <w:rPr>
          <w:b/>
          <w:bCs/>
          <w:sz w:val="36"/>
          <w:szCs w:val="36"/>
          <w:u w:val="single"/>
          <w:lang w:val="fr-FR"/>
        </w:rPr>
        <w:t>au</w:t>
      </w:r>
      <w:proofErr w:type="gramEnd"/>
      <w:r>
        <w:rPr>
          <w:b/>
          <w:bCs/>
          <w:sz w:val="36"/>
          <w:szCs w:val="36"/>
          <w:u w:val="single"/>
          <w:lang w:val="fr-FR"/>
        </w:rPr>
        <w:t xml:space="preserve"> Plan fédéral de lutte contre la pauvreté : thématique « </w:t>
      </w:r>
      <w:r w:rsidR="009752D5">
        <w:rPr>
          <w:b/>
          <w:bCs/>
          <w:sz w:val="36"/>
          <w:szCs w:val="36"/>
          <w:u w:val="single"/>
          <w:lang w:val="fr-FR"/>
        </w:rPr>
        <w:t>pouvoir d’achat</w:t>
      </w:r>
      <w:r>
        <w:rPr>
          <w:b/>
          <w:bCs/>
          <w:sz w:val="36"/>
          <w:szCs w:val="36"/>
          <w:u w:val="single"/>
          <w:lang w:val="fr-FR"/>
        </w:rPr>
        <w:t> »</w:t>
      </w:r>
    </w:p>
    <w:p w14:paraId="49579202" w14:textId="77777777" w:rsidR="00575EED" w:rsidRDefault="00575EED" w:rsidP="00575EED">
      <w:pPr>
        <w:spacing w:before="240"/>
        <w:jc w:val="both"/>
        <w:rPr>
          <w:lang w:val="fr-FR"/>
        </w:rPr>
      </w:pPr>
      <w:bookmarkStart w:id="1" w:name="_Hlk198892016"/>
      <w:r w:rsidRPr="007C1626">
        <w:rPr>
          <w:lang w:val="fr-FR"/>
        </w:rPr>
        <w:t xml:space="preserve">Conformément à la loi du 9 octobre 2023, un plan fédéral de lutte contre la pauvreté devra être adopté </w:t>
      </w:r>
      <w:proofErr w:type="gramStart"/>
      <w:r w:rsidRPr="007C1626">
        <w:rPr>
          <w:lang w:val="fr-FR"/>
        </w:rPr>
        <w:t>dans</w:t>
      </w:r>
      <w:proofErr w:type="gramEnd"/>
      <w:r w:rsidRPr="007C1626">
        <w:rPr>
          <w:lang w:val="fr-FR"/>
        </w:rPr>
        <w:t xml:space="preserve"> les douze mois qui suivent l’installation du Conseil des Ministres, soit pour le 2 février 2026.</w:t>
      </w:r>
      <w:bookmarkEnd w:id="1"/>
    </w:p>
    <w:p w14:paraId="3F893343" w14:textId="77777777" w:rsidR="00575EED" w:rsidRPr="00EE1087" w:rsidRDefault="00575EED" w:rsidP="00575EED">
      <w:pPr>
        <w:spacing w:before="240"/>
        <w:jc w:val="both"/>
        <w:rPr>
          <w:lang w:val="fr-BE"/>
        </w:rPr>
      </w:pPr>
      <w:r>
        <w:rPr>
          <w:lang w:val="fr-FR"/>
        </w:rPr>
        <w:t>Dans ce cadre, le cabinet du</w:t>
      </w:r>
      <w:r w:rsidRPr="007C1626">
        <w:rPr>
          <w:lang w:val="fr-FR"/>
        </w:rPr>
        <w:t xml:space="preserve"> </w:t>
      </w:r>
      <w:r>
        <w:rPr>
          <w:lang w:val="fr-FR"/>
        </w:rPr>
        <w:t xml:space="preserve">Ministre </w:t>
      </w:r>
      <w:proofErr w:type="spellStart"/>
      <w:r w:rsidRPr="00EE1087">
        <w:rPr>
          <w:lang w:val="fr-BE"/>
        </w:rPr>
        <w:t>Vandenbroucke</w:t>
      </w:r>
      <w:proofErr w:type="spellEnd"/>
      <w:r w:rsidRPr="00EE1087">
        <w:rPr>
          <w:lang w:val="fr-BE"/>
        </w:rPr>
        <w:t>, en charge de la lutte contre la pauvreté</w:t>
      </w:r>
      <w:r>
        <w:rPr>
          <w:lang w:val="fr-BE"/>
        </w:rPr>
        <w:t>, a défini quelques grandes lignes directrices : </w:t>
      </w:r>
      <w:r w:rsidRPr="007C1626">
        <w:rPr>
          <w:lang w:val="fr-FR"/>
        </w:rPr>
        <w:t xml:space="preserve"> </w:t>
      </w:r>
    </w:p>
    <w:p w14:paraId="0D8077B2" w14:textId="77777777" w:rsidR="00575EED" w:rsidRDefault="00575EED" w:rsidP="00575EED">
      <w:pPr>
        <w:spacing w:after="0"/>
        <w:rPr>
          <w:lang w:val="fr-FR"/>
        </w:rPr>
      </w:pPr>
      <w:r>
        <w:rPr>
          <w:lang w:val="fr-FR"/>
        </w:rPr>
        <w:t xml:space="preserve">1. L'intégration de tous dans une société inclusive : </w:t>
      </w:r>
    </w:p>
    <w:p w14:paraId="147C9FCA" w14:textId="77777777" w:rsidR="00575EED" w:rsidRDefault="00575EED" w:rsidP="00575EED">
      <w:pPr>
        <w:spacing w:after="0"/>
        <w:ind w:firstLine="708"/>
        <w:rPr>
          <w:lang w:val="fr-FR"/>
          <w14:ligatures w14:val="standardContextual"/>
        </w:rPr>
      </w:pPr>
      <w:r>
        <w:rPr>
          <w:lang w:val="fr-FR"/>
        </w:rPr>
        <w:t>a. Un travail comme barrage contre la pauvreté</w:t>
      </w:r>
    </w:p>
    <w:p w14:paraId="0C0ABDBC" w14:textId="77777777" w:rsidR="00575EED" w:rsidRDefault="00575EED" w:rsidP="00575EED">
      <w:pPr>
        <w:spacing w:after="0"/>
        <w:ind w:firstLine="708"/>
        <w:rPr>
          <w:lang w:val="fr-FR"/>
        </w:rPr>
      </w:pPr>
      <w:r>
        <w:rPr>
          <w:lang w:val="fr-FR"/>
        </w:rPr>
        <w:t>b. Un système de sécurité sociale solide comme barrage contre la pauvreté</w:t>
      </w:r>
    </w:p>
    <w:p w14:paraId="131D955D" w14:textId="77777777" w:rsidR="00575EED" w:rsidRDefault="00575EED" w:rsidP="00575EED">
      <w:pPr>
        <w:spacing w:after="0"/>
        <w:ind w:firstLine="708"/>
        <w:rPr>
          <w:lang w:val="fr-FR"/>
        </w:rPr>
      </w:pPr>
      <w:r>
        <w:rPr>
          <w:lang w:val="fr-FR"/>
        </w:rPr>
        <w:t xml:space="preserve">c. Accessibilité des services et lutte contre le non </w:t>
      </w:r>
      <w:proofErr w:type="spellStart"/>
      <w:r>
        <w:rPr>
          <w:lang w:val="fr-FR"/>
        </w:rPr>
        <w:t>take</w:t>
      </w:r>
      <w:proofErr w:type="spellEnd"/>
      <w:r>
        <w:rPr>
          <w:lang w:val="fr-FR"/>
        </w:rPr>
        <w:t xml:space="preserve"> up</w:t>
      </w:r>
    </w:p>
    <w:p w14:paraId="70F7CFDF" w14:textId="77777777" w:rsidR="00575EED" w:rsidRDefault="00575EED" w:rsidP="00575EED">
      <w:pPr>
        <w:spacing w:after="0"/>
        <w:rPr>
          <w:lang w:val="fr-FR"/>
        </w:rPr>
      </w:pPr>
      <w:r>
        <w:rPr>
          <w:lang w:val="fr-FR"/>
        </w:rPr>
        <w:t>2. Pauvreté et santé</w:t>
      </w:r>
    </w:p>
    <w:p w14:paraId="6DEE9BF7" w14:textId="77777777" w:rsidR="00575EED" w:rsidRDefault="00575EED" w:rsidP="00575EED">
      <w:pPr>
        <w:spacing w:after="0"/>
        <w:rPr>
          <w:lang w:val="fr-FR"/>
        </w:rPr>
      </w:pPr>
      <w:r>
        <w:rPr>
          <w:lang w:val="fr-FR"/>
        </w:rPr>
        <w:t>3. La lutte contre le surendettement</w:t>
      </w:r>
    </w:p>
    <w:p w14:paraId="75E2399B" w14:textId="77777777" w:rsidR="00575EED" w:rsidRDefault="00575EED" w:rsidP="00575EED">
      <w:pPr>
        <w:spacing w:after="0"/>
        <w:rPr>
          <w:lang w:val="fr-FR"/>
        </w:rPr>
      </w:pPr>
      <w:r>
        <w:rPr>
          <w:lang w:val="fr-FR"/>
        </w:rPr>
        <w:t>4. Protéger le pouvoir d'achat des personnes en situation de pauvreté</w:t>
      </w:r>
    </w:p>
    <w:p w14:paraId="02C8D84A" w14:textId="6ED9410D" w:rsidR="00575EED" w:rsidRDefault="00575EED" w:rsidP="00575EED">
      <w:pPr>
        <w:spacing w:before="240"/>
        <w:jc w:val="both"/>
        <w:rPr>
          <w:lang w:val="fr-FR"/>
        </w:rPr>
      </w:pPr>
      <w:r>
        <w:rPr>
          <w:lang w:val="fr-FR"/>
        </w:rPr>
        <w:t xml:space="preserve">Le groupe de travail thématique sur « le pouvoir d’achat » se tiendra </w:t>
      </w:r>
      <w:r w:rsidRPr="00332166">
        <w:rPr>
          <w:b/>
          <w:bCs/>
          <w:lang w:val="fr-FR"/>
        </w:rPr>
        <w:t>le</w:t>
      </w:r>
      <w:r w:rsidR="00332166" w:rsidRPr="00332166">
        <w:rPr>
          <w:b/>
          <w:bCs/>
          <w:lang w:val="fr-FR"/>
        </w:rPr>
        <w:t xml:space="preserve"> mercredi 25 juin 2025 de 13.30h-16.00h</w:t>
      </w:r>
      <w:r>
        <w:rPr>
          <w:lang w:val="fr-FR"/>
        </w:rPr>
        <w:t xml:space="preserve">. Pour pouvoir préparer au mieux cette réunion, nous vous invitons à prendre connaissance de cette fiche et de la liste de mesures élaborée par le cabinet sur base de l’accord de gouvernement. Vos recommandations liées à ces mesures seront consignées dans une note qui sera remise au cabinet. </w:t>
      </w:r>
    </w:p>
    <w:p w14:paraId="6E1E2E6D" w14:textId="77777777" w:rsidR="00575EED" w:rsidRPr="00D91EF4" w:rsidRDefault="00575EED" w:rsidP="00575EED">
      <w:pPr>
        <w:spacing w:before="240"/>
        <w:jc w:val="both"/>
        <w:rPr>
          <w:lang w:val="fr-BE"/>
        </w:rPr>
      </w:pPr>
      <w:r>
        <w:rPr>
          <w:lang w:val="fr-FR"/>
        </w:rPr>
        <w:t>Lors de nos échanges, nous vous demandons de prendre en compte le souhait du Ministre d’intégrer uniquement de nouvelles mesures dans le Plan fédéral de lutte contre la pauvreté, et de limiter le nombre de ces mesures dans un objectif d’efficacité.</w:t>
      </w:r>
      <w:r>
        <w:rPr>
          <w:lang w:val="fr-BE"/>
        </w:rPr>
        <w:t xml:space="preserve"> </w:t>
      </w:r>
    </w:p>
    <w:p w14:paraId="16E7F780" w14:textId="77777777" w:rsidR="00575EED" w:rsidRDefault="00575EED" w:rsidP="00575EED">
      <w:pPr>
        <w:spacing w:before="240"/>
        <w:jc w:val="both"/>
        <w:rPr>
          <w:lang w:val="fr-FR"/>
        </w:rPr>
      </w:pPr>
      <w:r>
        <w:rPr>
          <w:lang w:val="fr-FR"/>
        </w:rPr>
        <w:t>Nous vous remercions d’avance pour votre collaboration !</w:t>
      </w:r>
    </w:p>
    <w:p w14:paraId="080BD784" w14:textId="77777777" w:rsidR="00575EED" w:rsidRDefault="00575EED" w:rsidP="009752D5">
      <w:pPr>
        <w:jc w:val="both"/>
        <w:rPr>
          <w:lang w:val="fr-FR"/>
        </w:rPr>
      </w:pPr>
    </w:p>
    <w:p w14:paraId="71C42641" w14:textId="77777777" w:rsidR="00575EED" w:rsidRDefault="00575EED">
      <w:pPr>
        <w:rPr>
          <w:b/>
          <w:bCs/>
          <w:u w:val="single"/>
          <w:lang w:val="fr-FR"/>
        </w:rPr>
      </w:pPr>
      <w:r>
        <w:rPr>
          <w:b/>
          <w:bCs/>
          <w:u w:val="single"/>
          <w:lang w:val="fr-FR"/>
        </w:rPr>
        <w:br w:type="page"/>
      </w:r>
    </w:p>
    <w:p w14:paraId="49C17583" w14:textId="148DC936" w:rsidR="006A3DA1" w:rsidRPr="00575EED" w:rsidRDefault="006A3DA1" w:rsidP="00575EED">
      <w:pPr>
        <w:pStyle w:val="ListParagraph"/>
        <w:numPr>
          <w:ilvl w:val="0"/>
          <w:numId w:val="14"/>
        </w:numPr>
        <w:jc w:val="both"/>
        <w:rPr>
          <w:b/>
          <w:bCs/>
          <w:u w:val="single"/>
          <w:lang w:val="fr-FR"/>
        </w:rPr>
      </w:pPr>
      <w:r w:rsidRPr="00575EED">
        <w:rPr>
          <w:b/>
          <w:bCs/>
          <w:u w:val="single"/>
          <w:lang w:val="fr-FR"/>
        </w:rPr>
        <w:lastRenderedPageBreak/>
        <w:t>Contexte</w:t>
      </w:r>
    </w:p>
    <w:p w14:paraId="4CCD8AFA" w14:textId="77777777" w:rsidR="00785C2B" w:rsidRDefault="00785C2B" w:rsidP="00785C2B">
      <w:pPr>
        <w:jc w:val="both"/>
        <w:rPr>
          <w:lang w:val="fr-BE"/>
        </w:rPr>
      </w:pPr>
      <w:r w:rsidRPr="00785C2B">
        <w:rPr>
          <w:lang w:val="fr-BE"/>
        </w:rPr>
        <w:t xml:space="preserve">En 2024, 18,2% de la population belge était exposée au </w:t>
      </w:r>
      <w:r w:rsidRPr="00785C2B">
        <w:rPr>
          <w:b/>
          <w:bCs/>
          <w:lang w:val="fr-BE"/>
        </w:rPr>
        <w:t>risque de pauvreté ou d’exclusion sociale (AROPE)</w:t>
      </w:r>
      <w:r w:rsidRPr="00785C2B">
        <w:rPr>
          <w:lang w:val="fr-BE"/>
        </w:rPr>
        <w:t xml:space="preserve">, soit un peu plus de 2,1 millions de personnes. Le </w:t>
      </w:r>
      <w:r w:rsidRPr="00785C2B">
        <w:rPr>
          <w:b/>
          <w:bCs/>
          <w:lang w:val="fr-BE"/>
        </w:rPr>
        <w:t>risque de pauvreté</w:t>
      </w:r>
      <w:r w:rsidRPr="004104E8">
        <w:rPr>
          <w:rStyle w:val="FootnoteReference"/>
        </w:rPr>
        <w:footnoteReference w:id="1"/>
      </w:r>
      <w:r w:rsidRPr="00785C2B">
        <w:rPr>
          <w:b/>
          <w:bCs/>
          <w:lang w:val="fr-BE"/>
        </w:rPr>
        <w:t> (AROP ou pauvreté monétaire)</w:t>
      </w:r>
      <w:r w:rsidRPr="00785C2B">
        <w:rPr>
          <w:lang w:val="fr-BE"/>
        </w:rPr>
        <w:t xml:space="preserve"> s’établissait quant à lui à 11,5% de la population.</w:t>
      </w:r>
    </w:p>
    <w:p w14:paraId="71547201" w14:textId="49310F82" w:rsidR="00D32C05" w:rsidRDefault="002067AC" w:rsidP="00785C2B">
      <w:pPr>
        <w:jc w:val="both"/>
        <w:rPr>
          <w:lang w:val="fr-BE"/>
        </w:rPr>
      </w:pPr>
      <w:r w:rsidRPr="002067AC">
        <w:rPr>
          <w:lang w:val="fr-BE"/>
        </w:rPr>
        <w:t xml:space="preserve">En 2024, 6,1 % de la population souffre d’une </w:t>
      </w:r>
      <w:r w:rsidRPr="002067AC">
        <w:rPr>
          <w:b/>
          <w:bCs/>
          <w:lang w:val="fr-BE"/>
        </w:rPr>
        <w:t>privation matérielle et sociale sévère</w:t>
      </w:r>
      <w:r w:rsidRPr="002067AC">
        <w:rPr>
          <w:lang w:val="fr-BE"/>
        </w:rPr>
        <w:t xml:space="preserve">, ce qui signifie qu’elle est dans l’incapacité de faire face à certaines dépenses courantes jugées indispensables pour maintenir un niveau de vie décent, comme payer ses factures, remplacer des meubles usés ou participer à des sorties régulières. </w:t>
      </w:r>
      <w:r w:rsidR="00D32C05">
        <w:rPr>
          <w:lang w:val="fr-BE"/>
        </w:rPr>
        <w:t xml:space="preserve">(Source : </w:t>
      </w:r>
      <w:hyperlink r:id="rId13" w:history="1">
        <w:proofErr w:type="spellStart"/>
        <w:r w:rsidR="00D32C05" w:rsidRPr="00D32C05">
          <w:rPr>
            <w:rStyle w:val="Hyperlink"/>
            <w:lang w:val="fr-BE"/>
          </w:rPr>
          <w:t>Statbel</w:t>
        </w:r>
        <w:proofErr w:type="spellEnd"/>
      </w:hyperlink>
      <w:r w:rsidR="00D32C05">
        <w:rPr>
          <w:lang w:val="fr-BE"/>
        </w:rPr>
        <w:t>).</w:t>
      </w:r>
    </w:p>
    <w:p w14:paraId="69075ECA" w14:textId="2075FC5D" w:rsidR="00785C2B" w:rsidRPr="00785C2B" w:rsidRDefault="00785C2B" w:rsidP="00785C2B">
      <w:pPr>
        <w:jc w:val="both"/>
        <w:rPr>
          <w:lang w:val="fr-BE"/>
        </w:rPr>
      </w:pPr>
      <w:r w:rsidRPr="00785C2B">
        <w:rPr>
          <w:rFonts w:eastAsia="Times New Roman"/>
          <w:lang w:val="fr-BE"/>
        </w:rPr>
        <w:t>Le graphique ci-dessous donnent l’évolution du nombre de demandes d’aide en matière d’</w:t>
      </w:r>
      <w:r w:rsidRPr="00785C2B">
        <w:rPr>
          <w:rFonts w:eastAsia="Times New Roman"/>
          <w:b/>
          <w:bCs/>
          <w:lang w:val="fr-BE"/>
        </w:rPr>
        <w:t>aide alimentaire</w:t>
      </w:r>
      <w:r w:rsidRPr="00785C2B">
        <w:rPr>
          <w:rFonts w:eastAsia="Times New Roman"/>
          <w:lang w:val="fr-BE"/>
        </w:rPr>
        <w:t xml:space="preserve"> et d’</w:t>
      </w:r>
      <w:r w:rsidRPr="00785C2B">
        <w:rPr>
          <w:rFonts w:eastAsia="Times New Roman"/>
          <w:b/>
          <w:bCs/>
          <w:lang w:val="fr-BE"/>
        </w:rPr>
        <w:t>aide pour l’eau et l’énergie</w:t>
      </w:r>
      <w:r w:rsidRPr="00785C2B">
        <w:rPr>
          <w:rFonts w:eastAsia="Times New Roman"/>
          <w:lang w:val="fr-BE"/>
        </w:rPr>
        <w:t xml:space="preserve"> adressées aux CPAS par leurs usagers. Étant donné qu’il s’agit de données estimées à partir d’enquêtes menées auprès des CPAS, l’attention portera davantage sur la tendance de ces demandes que sur leur valeur absolue (Source : Enquête Impact Social – SPP IS).</w:t>
      </w:r>
    </w:p>
    <w:p w14:paraId="5AAFC4FE" w14:textId="77777777" w:rsidR="00785C2B" w:rsidRDefault="00785C2B" w:rsidP="00785C2B">
      <w:pPr>
        <w:jc w:val="both"/>
        <w:rPr>
          <w:rFonts w:eastAsia="Times New Roman"/>
          <w:lang w:val="fr-BE"/>
        </w:rPr>
      </w:pPr>
      <w:r w:rsidRPr="00203539">
        <w:rPr>
          <w:noProof/>
        </w:rPr>
        <w:drawing>
          <wp:inline distT="0" distB="0" distL="0" distR="0" wp14:anchorId="718F648F" wp14:editId="7B2A4A82">
            <wp:extent cx="5760720" cy="2757170"/>
            <wp:effectExtent l="0" t="0" r="11430" b="5080"/>
            <wp:docPr id="379064862" name="Chart 1">
              <a:extLst xmlns:a="http://schemas.openxmlformats.org/drawingml/2006/main">
                <a:ext uri="{FF2B5EF4-FFF2-40B4-BE49-F238E27FC236}">
                  <a16:creationId xmlns:a16="http://schemas.microsoft.com/office/drawing/2014/main" id="{72BA4740-D28B-4F7A-90CD-1923A03EC8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02F12BC" w14:textId="41FE7A8A" w:rsidR="00785C2B" w:rsidRDefault="00785C2B" w:rsidP="00785C2B">
      <w:pPr>
        <w:jc w:val="both"/>
        <w:rPr>
          <w:lang w:val="fr-BE"/>
        </w:rPr>
      </w:pPr>
      <w:r w:rsidRPr="00785C2B">
        <w:rPr>
          <w:rFonts w:eastAsia="Times New Roman"/>
          <w:lang w:val="fr-BE"/>
        </w:rPr>
        <w:t xml:space="preserve">La </w:t>
      </w:r>
      <w:r w:rsidRPr="002067AC">
        <w:rPr>
          <w:rFonts w:eastAsia="Times New Roman"/>
          <w:b/>
          <w:bCs/>
          <w:lang w:val="fr-BE"/>
        </w:rPr>
        <w:t>demande d’aide alimentaire</w:t>
      </w:r>
      <w:r w:rsidRPr="00785C2B">
        <w:rPr>
          <w:rFonts w:eastAsia="Times New Roman"/>
          <w:lang w:val="fr-BE"/>
        </w:rPr>
        <w:t xml:space="preserve"> suit une tendance haussière. Cela traduit souvent une situation d’urgence sociale, où les revenus disponibles ne suffisent plus à couvrir les besoins de base. Cette hausse est un indicateur de la difficulté croissante à accéder à une alimentation suffisante et de qualité.</w:t>
      </w:r>
    </w:p>
    <w:p w14:paraId="146853CA" w14:textId="756C4103" w:rsidR="00785C2B" w:rsidRDefault="00785C2B" w:rsidP="009752D5">
      <w:pPr>
        <w:jc w:val="both"/>
        <w:rPr>
          <w:rFonts w:eastAsia="Times New Roman"/>
          <w:lang w:val="fr-BE"/>
        </w:rPr>
      </w:pPr>
      <w:r w:rsidRPr="00785C2B">
        <w:rPr>
          <w:rFonts w:eastAsia="Times New Roman"/>
          <w:lang w:val="fr-BE"/>
        </w:rPr>
        <w:t xml:space="preserve">Les </w:t>
      </w:r>
      <w:r w:rsidRPr="002067AC">
        <w:rPr>
          <w:rFonts w:eastAsia="Times New Roman"/>
          <w:b/>
          <w:bCs/>
          <w:lang w:val="fr-BE"/>
        </w:rPr>
        <w:t>demandes dans le domaine de l’aide pour l’eau et l’énergie</w:t>
      </w:r>
      <w:r w:rsidRPr="00785C2B">
        <w:rPr>
          <w:rFonts w:eastAsia="Times New Roman"/>
          <w:lang w:val="fr-BE"/>
        </w:rPr>
        <w:t xml:space="preserve"> connaissent également une progression, souvent liée aux hausses de prix de l’énergie et aux charges liées au logement. Ces aides sont essentielles pour garantir un accès aux services de base.</w:t>
      </w:r>
    </w:p>
    <w:p w14:paraId="0AF79FC6" w14:textId="77777777" w:rsidR="00550119" w:rsidRPr="00785C2B" w:rsidRDefault="00550119" w:rsidP="009752D5">
      <w:pPr>
        <w:jc w:val="both"/>
        <w:rPr>
          <w:b/>
          <w:bCs/>
          <w:u w:val="single"/>
          <w:lang w:val="fr-BE"/>
        </w:rPr>
      </w:pPr>
    </w:p>
    <w:p w14:paraId="318E7C38" w14:textId="77777777" w:rsidR="00575EED" w:rsidRDefault="00575EED">
      <w:pPr>
        <w:rPr>
          <w:b/>
          <w:bCs/>
          <w:u w:val="single"/>
          <w:lang w:val="fr-FR"/>
        </w:rPr>
      </w:pPr>
      <w:r>
        <w:rPr>
          <w:b/>
          <w:bCs/>
          <w:u w:val="single"/>
          <w:lang w:val="fr-FR"/>
        </w:rPr>
        <w:br w:type="page"/>
      </w:r>
    </w:p>
    <w:p w14:paraId="0B13C9EA" w14:textId="4F23200C" w:rsidR="006002A7" w:rsidRPr="00575EED" w:rsidRDefault="006002A7" w:rsidP="00575EED">
      <w:pPr>
        <w:pStyle w:val="ListParagraph"/>
        <w:numPr>
          <w:ilvl w:val="0"/>
          <w:numId w:val="14"/>
        </w:numPr>
        <w:jc w:val="both"/>
        <w:rPr>
          <w:b/>
          <w:bCs/>
          <w:u w:val="single"/>
          <w:lang w:val="fr-FR"/>
        </w:rPr>
      </w:pPr>
      <w:r w:rsidRPr="00575EED">
        <w:rPr>
          <w:b/>
          <w:bCs/>
          <w:u w:val="single"/>
          <w:lang w:val="fr-FR"/>
        </w:rPr>
        <w:t>Mesures liées à la thématique « pouvoir d’achat » sur base de l’accord de gouvernement</w:t>
      </w:r>
    </w:p>
    <w:p w14:paraId="4B9B19F6" w14:textId="77777777" w:rsidR="0033739A" w:rsidRDefault="0033739A" w:rsidP="0033739A">
      <w:pPr>
        <w:jc w:val="both"/>
        <w:rPr>
          <w:i/>
          <w:iCs/>
          <w:lang w:val="fr-FR"/>
        </w:rPr>
      </w:pPr>
      <w:r>
        <w:rPr>
          <w:i/>
          <w:iCs/>
          <w:lang w:val="fr-FR"/>
        </w:rPr>
        <w:t>Vous trouverez ci-dessous une première sélection non-exhaustive de mesures reprises dans l’accord de gouvernement :</w:t>
      </w:r>
    </w:p>
    <w:p w14:paraId="2382FCA6" w14:textId="19B01879" w:rsidR="00A77B54" w:rsidRPr="00785C2B" w:rsidRDefault="00A77B54" w:rsidP="00A77B54">
      <w:pPr>
        <w:pStyle w:val="ListParagraph"/>
        <w:numPr>
          <w:ilvl w:val="0"/>
          <w:numId w:val="12"/>
        </w:numPr>
        <w:rPr>
          <w:rFonts w:eastAsia="Times New Roman" w:cstheme="minorHAnsi"/>
          <w:color w:val="000000"/>
          <w:lang w:val="fr-BE" w:eastAsia="nl-BE"/>
        </w:rPr>
      </w:pPr>
      <w:r w:rsidRPr="00785C2B">
        <w:rPr>
          <w:rFonts w:eastAsia="Times New Roman" w:cstheme="minorHAnsi"/>
          <w:color w:val="000000"/>
          <w:lang w:val="fr-BE" w:eastAsia="nl-BE"/>
        </w:rPr>
        <w:t>Les autorités mènent de vastes campagnes pour informer et sensibiliser chaque consommateur sur ses droits, ses possibilités et ses responsabilités. Une attention particulière sera accordée à la meilleure façon d’atteindre les groupes cibles vulnérables.</w:t>
      </w:r>
    </w:p>
    <w:p w14:paraId="1FAE4860" w14:textId="3D790F33" w:rsidR="00A10B46" w:rsidRPr="00785C2B" w:rsidRDefault="00F66716" w:rsidP="00F66716">
      <w:pPr>
        <w:pStyle w:val="ListParagraph"/>
        <w:numPr>
          <w:ilvl w:val="0"/>
          <w:numId w:val="12"/>
        </w:numPr>
        <w:rPr>
          <w:lang w:val="fr-BE"/>
        </w:rPr>
      </w:pPr>
      <w:r w:rsidRPr="00785C2B">
        <w:rPr>
          <w:lang w:val="fr-BE"/>
        </w:rPr>
        <w:t xml:space="preserve">Renforcer les revenus les plus bas par </w:t>
      </w:r>
      <w:r w:rsidRPr="00785C2B">
        <w:rPr>
          <w:rFonts w:eastAsia="Times New Roman" w:cstheme="minorHAnsi"/>
          <w:color w:val="000000"/>
          <w:lang w:val="fr-BE" w:eastAsia="nl-BE"/>
        </w:rPr>
        <w:t>une augmentation supplémentaire en deux étapes des salaires minimums.</w:t>
      </w:r>
    </w:p>
    <w:p w14:paraId="218CF178" w14:textId="3CACFA46" w:rsidR="00A10B46" w:rsidRPr="00A77B54" w:rsidRDefault="00F66716" w:rsidP="00A10B46">
      <w:pPr>
        <w:pStyle w:val="ListParagraph"/>
        <w:numPr>
          <w:ilvl w:val="0"/>
          <w:numId w:val="12"/>
        </w:numPr>
        <w:jc w:val="both"/>
        <w:rPr>
          <w:rFonts w:cstheme="minorHAnsi"/>
          <w:i/>
          <w:iCs/>
          <w:lang w:val="fr-FR"/>
        </w:rPr>
      </w:pPr>
      <w:r w:rsidRPr="00785C2B">
        <w:rPr>
          <w:rFonts w:eastAsia="Times New Roman" w:cstheme="minorHAnsi"/>
          <w:color w:val="000000"/>
          <w:lang w:val="fr-BE" w:eastAsia="nl-BE"/>
        </w:rPr>
        <w:t>La réforme fiscale prévoit un soutien financier et des baisses d’impôts pour les ménages, ce qui permettra de mieux maîtriser les coûts de la transition énergétique.</w:t>
      </w:r>
    </w:p>
    <w:p w14:paraId="1151658A" w14:textId="719361B8" w:rsidR="00A10B46" w:rsidRPr="00A77B54" w:rsidRDefault="00AE796F" w:rsidP="00A10B46">
      <w:pPr>
        <w:pStyle w:val="ListParagraph"/>
        <w:numPr>
          <w:ilvl w:val="0"/>
          <w:numId w:val="12"/>
        </w:numPr>
        <w:jc w:val="both"/>
        <w:rPr>
          <w:rFonts w:cstheme="minorHAnsi"/>
          <w:i/>
          <w:iCs/>
          <w:lang w:val="fr-FR"/>
        </w:rPr>
      </w:pPr>
      <w:r w:rsidRPr="00785C2B">
        <w:rPr>
          <w:rFonts w:eastAsia="Times New Roman" w:cstheme="minorHAnsi"/>
          <w:color w:val="000000"/>
          <w:lang w:val="fr-BE" w:eastAsia="nl-BE"/>
        </w:rPr>
        <w:t>Le livre XIX du Code de droit économique relatif aux dettes des consommateurs sera évalué d’ici à la fin de la première année de la législature et, le cas échéant, adapté en fonction de cette évaluation.</w:t>
      </w:r>
    </w:p>
    <w:p w14:paraId="74A9F5EB" w14:textId="77777777" w:rsidR="00A10B46" w:rsidRDefault="00A10B46">
      <w:pPr>
        <w:rPr>
          <w:b/>
          <w:bCs/>
          <w:u w:val="single"/>
          <w:lang w:val="fr-FR"/>
        </w:rPr>
      </w:pPr>
    </w:p>
    <w:p w14:paraId="46717D1C" w14:textId="569B182C" w:rsidR="00575EED" w:rsidRPr="00575EED" w:rsidRDefault="00575EED" w:rsidP="00575EED">
      <w:pPr>
        <w:pStyle w:val="ListParagraph"/>
        <w:numPr>
          <w:ilvl w:val="0"/>
          <w:numId w:val="14"/>
        </w:numPr>
        <w:rPr>
          <w:b/>
          <w:bCs/>
          <w:u w:val="single"/>
          <w:lang w:val="fr-FR"/>
        </w:rPr>
      </w:pPr>
      <w:bookmarkStart w:id="2" w:name="_Hlk198891951"/>
      <w:bookmarkStart w:id="3" w:name="_Hlk200116796"/>
      <w:r w:rsidRPr="00575EED">
        <w:rPr>
          <w:b/>
          <w:bCs/>
          <w:u w:val="single"/>
          <w:lang w:val="fr-FR"/>
        </w:rPr>
        <w:t>Recommandations</w:t>
      </w:r>
    </w:p>
    <w:bookmarkEnd w:id="2"/>
    <w:p w14:paraId="0AD97F5B" w14:textId="77777777" w:rsidR="00575EED" w:rsidRDefault="00575EED" w:rsidP="00575EED">
      <w:pPr>
        <w:rPr>
          <w:b/>
          <w:bCs/>
          <w:u w:val="single"/>
          <w:lang w:val="fr-FR"/>
        </w:rPr>
      </w:pPr>
      <w:r>
        <w:rPr>
          <w:b/>
          <w:bCs/>
          <w:u w:val="single"/>
          <w:lang w:val="fr-FR"/>
        </w:rPr>
        <w:t xml:space="preserve">Quelles sont vos recommandations en lien avec les mesures sélectionnées par le cabinet ? </w:t>
      </w:r>
    </w:p>
    <w:p w14:paraId="54F773EA" w14:textId="77777777" w:rsidR="00575EED" w:rsidRPr="00EE1087" w:rsidRDefault="00575EED" w:rsidP="00575EED">
      <w:pPr>
        <w:rPr>
          <w:b/>
          <w:bCs/>
          <w:u w:val="single"/>
          <w:lang w:val="fr-FR"/>
        </w:rPr>
      </w:pPr>
      <w:bookmarkStart w:id="4" w:name="_Hlk198891965"/>
      <w:r w:rsidRPr="00EE1087">
        <w:rPr>
          <w:b/>
          <w:bCs/>
          <w:u w:val="single"/>
          <w:lang w:val="fr-FR"/>
        </w:rPr>
        <w:t>Quelle(s) nouvelle(s) action(s) suggérez-vous en lien avec la thématique ?</w:t>
      </w:r>
      <w:bookmarkEnd w:id="3"/>
      <w:bookmarkEnd w:id="4"/>
    </w:p>
    <w:p w14:paraId="2CFC3448" w14:textId="5C429969" w:rsidR="00233ADC" w:rsidRPr="006002A7" w:rsidRDefault="00233ADC" w:rsidP="006002A7">
      <w:pPr>
        <w:rPr>
          <w:b/>
          <w:bCs/>
          <w:u w:val="single"/>
          <w:lang w:val="fr-FR"/>
        </w:rPr>
      </w:pPr>
    </w:p>
    <w:sectPr w:rsidR="00233ADC" w:rsidRPr="006002A7" w:rsidSect="008C5014">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5" w:name="_Hlk33451114" w:displacedByCustomXml="next"/>
    </w:sdtContent>
  </w:sdt>
  <w:bookmarkEnd w:id="5"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00D4B48E" w14:textId="77777777" w:rsidR="00785C2B" w:rsidRDefault="00785C2B" w:rsidP="00785C2B">
      <w:pPr>
        <w:pStyle w:val="FootnoteText"/>
      </w:pPr>
      <w:r>
        <w:rPr>
          <w:rStyle w:val="FootnoteReference"/>
        </w:rPr>
        <w:footnoteRef/>
      </w:r>
      <w:r>
        <w:t xml:space="preserve"> AROP : l</w:t>
      </w:r>
      <w:r w:rsidRPr="00512D14">
        <w:t>e risque de pauvreté (ou pauvreté monétaire) est le pourcentage de personnes ayant un revenu disponible équivalent (après transferts sociaux) inférieur à 60 % du revenu médian national des ménages.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70842B20" w:rsidR="00B530E6" w:rsidRPr="003D7888" w:rsidRDefault="00F358A0">
          <w:pPr>
            <w:pStyle w:val="Header"/>
            <w:rPr>
              <w:b/>
              <w:bCs/>
              <w:color w:val="808080" w:themeColor="background1" w:themeShade="80"/>
              <w:sz w:val="44"/>
              <w:szCs w:val="44"/>
              <w:lang w:val="fr-BE"/>
            </w:rPr>
          </w:pPr>
          <w:r>
            <w:rPr>
              <w:b/>
              <w:bCs/>
              <w:color w:val="808080" w:themeColor="background1" w:themeShade="80"/>
              <w:sz w:val="44"/>
              <w:szCs w:val="44"/>
              <w:lang w:val="fr-BE"/>
            </w:rPr>
            <w:t>Fiche thématique</w:t>
          </w:r>
        </w:p>
      </w:tc>
    </w:tr>
    <w:tr w:rsidR="007E11F7" w:rsidRPr="004E42C9" w14:paraId="4AB4D1FC" w14:textId="77777777" w:rsidTr="00A17167">
      <w:tc>
        <w:tcPr>
          <w:tcW w:w="2545" w:type="dxa"/>
        </w:tcPr>
        <w:p w14:paraId="2DA55D24" w14:textId="77777777" w:rsidR="004C082D" w:rsidRPr="003D7888" w:rsidRDefault="004C082D" w:rsidP="00F14040">
          <w:pPr>
            <w:pStyle w:val="Header"/>
            <w:jc w:val="right"/>
            <w:rPr>
              <w:color w:val="808080" w:themeColor="background1" w:themeShade="80"/>
              <w:sz w:val="18"/>
              <w:szCs w:val="18"/>
              <w:lang w:val="fr-FR"/>
            </w:rPr>
          </w:pPr>
        </w:p>
        <w:p w14:paraId="3BF2EDD8" w14:textId="77777777" w:rsidR="004C082D" w:rsidRPr="007E11F7" w:rsidRDefault="00DF4D99"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Boulevard du Jardin </w:t>
          </w:r>
          <w:r w:rsidR="00A17167" w:rsidRPr="007E11F7">
            <w:rPr>
              <w:color w:val="808080" w:themeColor="background1" w:themeShade="80"/>
              <w:sz w:val="18"/>
              <w:szCs w:val="18"/>
              <w:lang w:val="fr-FR"/>
            </w:rPr>
            <w:br/>
          </w:r>
          <w:r w:rsidRPr="007E11F7">
            <w:rPr>
              <w:color w:val="808080" w:themeColor="background1" w:themeShade="80"/>
              <w:sz w:val="18"/>
              <w:szCs w:val="18"/>
              <w:lang w:val="fr-FR"/>
            </w:rPr>
            <w:t>Botanique</w:t>
          </w:r>
          <w:r w:rsidR="004C082D" w:rsidRPr="007E11F7">
            <w:rPr>
              <w:color w:val="808080" w:themeColor="background1" w:themeShade="80"/>
              <w:sz w:val="18"/>
              <w:szCs w:val="18"/>
              <w:lang w:val="fr-FR"/>
            </w:rPr>
            <w:t xml:space="preserve"> 50 </w:t>
          </w:r>
          <w:proofErr w:type="gramStart"/>
          <w:r w:rsidR="00A17167" w:rsidRPr="007E11F7">
            <w:rPr>
              <w:color w:val="808080" w:themeColor="background1" w:themeShade="80"/>
              <w:sz w:val="18"/>
              <w:szCs w:val="18"/>
              <w:lang w:val="fr-FR"/>
            </w:rPr>
            <w:t>boîte</w:t>
          </w:r>
          <w:proofErr w:type="gramEnd"/>
          <w:r w:rsidR="004C082D" w:rsidRPr="007E11F7">
            <w:rPr>
              <w:color w:val="808080" w:themeColor="background1" w:themeShade="80"/>
              <w:sz w:val="18"/>
              <w:szCs w:val="18"/>
              <w:lang w:val="fr-FR"/>
            </w:rPr>
            <w:t xml:space="preserve"> 165</w:t>
          </w:r>
        </w:p>
        <w:p w14:paraId="719B410C"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B-1000 Bru</w:t>
          </w:r>
          <w:r w:rsidR="00A17167" w:rsidRPr="007E11F7">
            <w:rPr>
              <w:color w:val="808080" w:themeColor="background1" w:themeShade="80"/>
              <w:sz w:val="18"/>
              <w:szCs w:val="18"/>
              <w:lang w:val="fr-FR"/>
            </w:rPr>
            <w:t>xelles</w:t>
          </w:r>
        </w:p>
        <w:p w14:paraId="6C1B516F"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T. +32 2 508 85 8</w:t>
          </w:r>
          <w:r w:rsidR="00A17167" w:rsidRPr="007E11F7">
            <w:rPr>
              <w:color w:val="808080" w:themeColor="background1" w:themeShade="80"/>
              <w:sz w:val="18"/>
              <w:szCs w:val="18"/>
              <w:lang w:val="fr-FR"/>
            </w:rPr>
            <w:t>6</w:t>
          </w:r>
        </w:p>
        <w:p w14:paraId="6F0FF4B3"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E. </w:t>
          </w:r>
          <w:hyperlink r:id="rId2" w:history="1">
            <w:r w:rsidR="00A17167" w:rsidRPr="007E11F7">
              <w:rPr>
                <w:rStyle w:val="Hyperlink"/>
                <w:color w:val="808080" w:themeColor="background1" w:themeShade="80"/>
                <w:sz w:val="18"/>
                <w:szCs w:val="18"/>
                <w:lang w:val="fr-FR"/>
              </w:rPr>
              <w:t>question@mi-is.be</w:t>
            </w:r>
          </w:hyperlink>
          <w:r w:rsidR="00A17167" w:rsidRPr="007E11F7">
            <w:rPr>
              <w:color w:val="808080" w:themeColor="background1" w:themeShade="80"/>
              <w:sz w:val="18"/>
              <w:szCs w:val="18"/>
              <w:lang w:val="fr-FR"/>
            </w:rPr>
            <w:t xml:space="preserve"> </w:t>
          </w:r>
        </w:p>
        <w:p w14:paraId="522B6E16" w14:textId="77777777" w:rsidR="004C082D" w:rsidRPr="007E11F7" w:rsidRDefault="00332166"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1A4F1021" w14:textId="77777777" w:rsidR="004C082D" w:rsidRPr="007E11F7" w:rsidRDefault="004C082D">
          <w:pPr>
            <w:pStyle w:val="Header"/>
            <w:rPr>
              <w:color w:val="808080" w:themeColor="background1" w:themeShade="80"/>
              <w:sz w:val="18"/>
              <w:szCs w:val="18"/>
              <w:lang w:val="fr-FR"/>
            </w:rPr>
          </w:pPr>
          <w:r w:rsidRPr="007E11F7">
            <w:rPr>
              <w:color w:val="808080" w:themeColor="background1" w:themeShade="80"/>
              <w:sz w:val="18"/>
              <w:szCs w:val="18"/>
              <w:lang w:val="fr-FR"/>
            </w:rPr>
            <w:softHyphen/>
          </w:r>
        </w:p>
        <w:p w14:paraId="662A7F47" w14:textId="77777777" w:rsidR="004C082D" w:rsidRPr="007E11F7" w:rsidRDefault="004E42C9">
          <w:pPr>
            <w:pStyle w:val="Header"/>
            <w:rPr>
              <w:b/>
              <w:color w:val="808080" w:themeColor="background1" w:themeShade="80"/>
              <w:sz w:val="18"/>
              <w:szCs w:val="18"/>
              <w:lang w:val="fr-FR"/>
            </w:rPr>
          </w:pPr>
          <w:r>
            <w:rPr>
              <w:b/>
              <w:color w:val="808080" w:themeColor="background1" w:themeShade="80"/>
              <w:sz w:val="18"/>
              <w:szCs w:val="18"/>
              <w:lang w:val="fr-FR"/>
            </w:rPr>
            <w:t>À</w:t>
          </w:r>
          <w:r w:rsidR="00A17167" w:rsidRPr="007E11F7">
            <w:rPr>
              <w:b/>
              <w:color w:val="808080" w:themeColor="background1" w:themeShade="80"/>
              <w:sz w:val="18"/>
              <w:szCs w:val="18"/>
              <w:lang w:val="fr-FR"/>
            </w:rPr>
            <w:t xml:space="preserve"> l’attention de</w:t>
          </w:r>
          <w:r>
            <w:rPr>
              <w:b/>
              <w:color w:val="808080" w:themeColor="background1" w:themeShade="80"/>
              <w:sz w:val="18"/>
              <w:szCs w:val="18"/>
              <w:lang w:val="fr-FR"/>
            </w:rPr>
            <w:t xml:space="preserve"> </w:t>
          </w:r>
          <w:r w:rsidR="004C082D" w:rsidRPr="007E11F7">
            <w:rPr>
              <w:b/>
              <w:color w:val="808080" w:themeColor="background1" w:themeShade="80"/>
              <w:sz w:val="18"/>
              <w:szCs w:val="18"/>
              <w:lang w:val="fr-FR"/>
            </w:rPr>
            <w:t>:</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6002A7" w:rsidRPr="00C55B5D" w14:paraId="12A8F0AF" w14:textId="77777777" w:rsidTr="00A17167">
      <w:tc>
        <w:tcPr>
          <w:tcW w:w="2545" w:type="dxa"/>
          <w:tcBorders>
            <w:top w:val="single" w:sz="4" w:space="0" w:color="auto"/>
          </w:tcBorders>
        </w:tcPr>
        <w:p w14:paraId="38C3A3DB" w14:textId="77777777" w:rsidR="006002A7" w:rsidRPr="00C55B5D" w:rsidRDefault="006002A7" w:rsidP="006002A7">
          <w:pPr>
            <w:pStyle w:val="Header"/>
            <w:jc w:val="right"/>
            <w:rPr>
              <w:b/>
              <w:color w:val="808080" w:themeColor="background1" w:themeShade="80"/>
              <w:sz w:val="18"/>
              <w:szCs w:val="18"/>
              <w:lang w:val="fr-FR"/>
            </w:rPr>
          </w:pPr>
          <w:r>
            <w:rPr>
              <w:b/>
              <w:color w:val="808080" w:themeColor="background1" w:themeShade="80"/>
              <w:sz w:val="18"/>
              <w:szCs w:val="18"/>
              <w:lang w:val="fr-FR"/>
            </w:rPr>
            <w:t>Service :</w:t>
          </w:r>
        </w:p>
      </w:tc>
      <w:tc>
        <w:tcPr>
          <w:tcW w:w="2984" w:type="dxa"/>
          <w:tcBorders>
            <w:top w:val="single" w:sz="4" w:space="0" w:color="auto"/>
          </w:tcBorders>
        </w:tcPr>
        <w:p w14:paraId="4471D9EE" w14:textId="5806278E" w:rsidR="006002A7" w:rsidRPr="00C55B5D" w:rsidRDefault="006002A7" w:rsidP="006002A7">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77777777" w:rsidR="006002A7" w:rsidRPr="00C55B5D" w:rsidRDefault="006002A7" w:rsidP="006002A7">
          <w:pPr>
            <w:pStyle w:val="Header"/>
            <w:jc w:val="right"/>
            <w:rPr>
              <w:b/>
              <w:color w:val="808080" w:themeColor="background1" w:themeShade="80"/>
              <w:sz w:val="18"/>
              <w:szCs w:val="18"/>
              <w:lang w:val="fr-FR"/>
            </w:rPr>
          </w:pPr>
          <w:r>
            <w:rPr>
              <w:b/>
              <w:color w:val="808080" w:themeColor="background1" w:themeShade="80"/>
              <w:sz w:val="18"/>
              <w:szCs w:val="18"/>
              <w:lang w:val="fr-FR"/>
            </w:rPr>
            <w:t>Date :</w:t>
          </w:r>
        </w:p>
      </w:tc>
      <w:tc>
        <w:tcPr>
          <w:tcW w:w="2476" w:type="dxa"/>
          <w:tcBorders>
            <w:top w:val="single" w:sz="4" w:space="0" w:color="auto"/>
          </w:tcBorders>
        </w:tcPr>
        <w:p w14:paraId="6269DF50" w14:textId="23D39762" w:rsidR="006002A7" w:rsidRPr="00C55B5D" w:rsidRDefault="00575EED" w:rsidP="006002A7">
          <w:pPr>
            <w:pStyle w:val="Header"/>
            <w:rPr>
              <w:color w:val="808080" w:themeColor="background1" w:themeShade="80"/>
              <w:sz w:val="18"/>
              <w:szCs w:val="18"/>
              <w:lang w:val="fr-FR"/>
            </w:rPr>
          </w:pPr>
          <w:r>
            <w:rPr>
              <w:color w:val="808080" w:themeColor="background1" w:themeShade="80"/>
              <w:sz w:val="18"/>
              <w:szCs w:val="18"/>
              <w:lang w:val="fr-FR"/>
            </w:rPr>
            <w:t>13</w:t>
          </w:r>
          <w:r w:rsidR="006002A7">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Personne de contact </w:t>
          </w:r>
          <w:r w:rsidRPr="00C55B5D">
            <w:rPr>
              <w:b/>
              <w:color w:val="808080" w:themeColor="background1" w:themeShade="80"/>
              <w:sz w:val="18"/>
              <w:szCs w:val="18"/>
              <w:lang w:val="fr-FR"/>
            </w:rPr>
            <w:t>:</w:t>
          </w:r>
        </w:p>
      </w:tc>
      <w:tc>
        <w:tcPr>
          <w:tcW w:w="2984" w:type="dxa"/>
        </w:tcPr>
        <w:p w14:paraId="2F3DED02" w14:textId="0FF29074" w:rsidR="003D7888" w:rsidRPr="00901336" w:rsidRDefault="00901336" w:rsidP="003D7888">
          <w:pPr>
            <w:pStyle w:val="Header"/>
            <w:rPr>
              <w:color w:val="808080" w:themeColor="background1" w:themeShade="80"/>
              <w:sz w:val="18"/>
              <w:szCs w:val="18"/>
            </w:rPr>
          </w:pPr>
          <w:r>
            <w:rPr>
              <w:color w:val="808080" w:themeColor="background1" w:themeShade="80"/>
              <w:sz w:val="18"/>
              <w:szCs w:val="18"/>
            </w:rPr>
            <w:t>Anita Opfergelt et Noémie Wouters</w:t>
          </w:r>
        </w:p>
      </w:tc>
      <w:tc>
        <w:tcPr>
          <w:tcW w:w="1913" w:type="dxa"/>
        </w:tcPr>
        <w:p w14:paraId="75BA32D3"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Annexe(s</w:t>
          </w:r>
          <w:proofErr w:type="gramStart"/>
          <w:r w:rsidRPr="00C55B5D">
            <w:rPr>
              <w:b/>
              <w:color w:val="808080" w:themeColor="background1" w:themeShade="80"/>
              <w:sz w:val="18"/>
              <w:szCs w:val="18"/>
              <w:lang w:val="fr-FR"/>
            </w:rPr>
            <w:t>):</w:t>
          </w:r>
          <w:proofErr w:type="gramEnd"/>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Notre </w:t>
          </w:r>
          <w:r w:rsidRPr="00C55B5D">
            <w:rPr>
              <w:b/>
              <w:color w:val="808080" w:themeColor="background1" w:themeShade="80"/>
              <w:sz w:val="18"/>
              <w:szCs w:val="18"/>
              <w:lang w:val="fr-FR"/>
            </w:rPr>
            <w:t>référence</w:t>
          </w:r>
          <w:r>
            <w:rPr>
              <w:b/>
              <w:color w:val="808080" w:themeColor="background1" w:themeShade="80"/>
              <w:sz w:val="18"/>
              <w:szCs w:val="18"/>
              <w:lang w:val="fr-FR"/>
            </w:rPr>
            <w:t xml:space="preserve"> </w:t>
          </w:r>
          <w:r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575EED" w14:paraId="673F54AE" w14:textId="77777777" w:rsidTr="00A17167">
      <w:tc>
        <w:tcPr>
          <w:tcW w:w="2545" w:type="dxa"/>
          <w:tcBorders>
            <w:bottom w:val="single" w:sz="4" w:space="0" w:color="auto"/>
          </w:tcBorders>
        </w:tcPr>
        <w:p w14:paraId="0B69C345"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Sujet</w:t>
          </w:r>
          <w:r>
            <w:rPr>
              <w:b/>
              <w:color w:val="808080" w:themeColor="background1" w:themeShade="80"/>
              <w:sz w:val="18"/>
              <w:szCs w:val="18"/>
              <w:lang w:val="fr-FR"/>
            </w:rPr>
            <w:t xml:space="preserve"> </w:t>
          </w:r>
          <w:r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0CBDC4B8" w:rsidR="003D7888" w:rsidRPr="00C55B5D" w:rsidRDefault="00F358A0" w:rsidP="00F358A0">
          <w:pPr>
            <w:pStyle w:val="Header"/>
            <w:rPr>
              <w:color w:val="808080" w:themeColor="background1" w:themeShade="80"/>
              <w:sz w:val="18"/>
              <w:szCs w:val="18"/>
              <w:lang w:val="fr-FR"/>
            </w:rPr>
          </w:pPr>
          <w:r>
            <w:rPr>
              <w:color w:val="808080" w:themeColor="background1" w:themeShade="80"/>
              <w:sz w:val="18"/>
              <w:szCs w:val="18"/>
              <w:lang w:val="fr-FR"/>
            </w:rPr>
            <w:t xml:space="preserve">Fiche préparatoire Plan fédéral de lutte contre la pauvreté </w:t>
          </w:r>
          <w:r w:rsidR="009752D5">
            <w:rPr>
              <w:color w:val="808080" w:themeColor="background1" w:themeShade="80"/>
              <w:sz w:val="18"/>
              <w:szCs w:val="18"/>
              <w:lang w:val="fr-FR"/>
            </w:rPr>
            <w:t xml:space="preserve">– </w:t>
          </w:r>
          <w:r w:rsidR="006002A7">
            <w:rPr>
              <w:color w:val="808080" w:themeColor="background1" w:themeShade="80"/>
              <w:sz w:val="18"/>
              <w:szCs w:val="18"/>
              <w:lang w:val="fr-FR"/>
            </w:rPr>
            <w:t>thématique « </w:t>
          </w:r>
          <w:r w:rsidR="009752D5">
            <w:rPr>
              <w:color w:val="808080" w:themeColor="background1" w:themeShade="80"/>
              <w:sz w:val="18"/>
              <w:szCs w:val="18"/>
              <w:lang w:val="fr-FR"/>
            </w:rPr>
            <w:t>pouvoir d’achat</w:t>
          </w:r>
          <w:r w:rsidR="006002A7">
            <w:rPr>
              <w:color w:val="808080" w:themeColor="background1" w:themeShade="80"/>
              <w:sz w:val="18"/>
              <w:szCs w:val="18"/>
              <w:lang w:val="fr-FR"/>
            </w:rPr>
            <w:t> »</w:t>
          </w:r>
        </w:p>
      </w:tc>
    </w:tr>
  </w:tbl>
  <w:p w14:paraId="03A095EB" w14:textId="77777777" w:rsidR="00F14040" w:rsidRPr="00C55B5D" w:rsidRDefault="00F14040">
    <w:pPr>
      <w:pStyle w:val="Header"/>
      <w:rPr>
        <w:color w:val="808080" w:themeColor="background1" w:themeShade="80"/>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D018BB"/>
    <w:multiLevelType w:val="hybridMultilevel"/>
    <w:tmpl w:val="1F2AFD32"/>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1" w15:restartNumberingAfterBreak="0">
    <w:nsid w:val="48B753BF"/>
    <w:multiLevelType w:val="hybridMultilevel"/>
    <w:tmpl w:val="3E12BD4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4BFA0909"/>
    <w:multiLevelType w:val="hybridMultilevel"/>
    <w:tmpl w:val="58623B4C"/>
    <w:lvl w:ilvl="0" w:tplc="AABA5564">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7938363B"/>
    <w:multiLevelType w:val="hybridMultilevel"/>
    <w:tmpl w:val="15FCAA2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3"/>
  </w:num>
  <w:num w:numId="12" w16cid:durableId="243225760">
    <w:abstractNumId w:val="12"/>
  </w:num>
  <w:num w:numId="13" w16cid:durableId="1877768207">
    <w:abstractNumId w:val="10"/>
  </w:num>
  <w:num w:numId="14" w16cid:durableId="1911579808">
    <w:abstractNumId w:val="14"/>
  </w:num>
  <w:num w:numId="15" w16cid:durableId="4156403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9365C"/>
    <w:rsid w:val="000E7546"/>
    <w:rsid w:val="00112D95"/>
    <w:rsid w:val="00140C8C"/>
    <w:rsid w:val="00177160"/>
    <w:rsid w:val="002067AC"/>
    <w:rsid w:val="00233ADC"/>
    <w:rsid w:val="002703EA"/>
    <w:rsid w:val="00285435"/>
    <w:rsid w:val="00332166"/>
    <w:rsid w:val="0033739A"/>
    <w:rsid w:val="003757BF"/>
    <w:rsid w:val="00390BDE"/>
    <w:rsid w:val="003D7888"/>
    <w:rsid w:val="003E04E2"/>
    <w:rsid w:val="00430895"/>
    <w:rsid w:val="00497433"/>
    <w:rsid w:val="004A31D7"/>
    <w:rsid w:val="004C082D"/>
    <w:rsid w:val="004D624C"/>
    <w:rsid w:val="004E42C9"/>
    <w:rsid w:val="00550119"/>
    <w:rsid w:val="00575EED"/>
    <w:rsid w:val="005A6803"/>
    <w:rsid w:val="006002A7"/>
    <w:rsid w:val="0062271E"/>
    <w:rsid w:val="006A3DA1"/>
    <w:rsid w:val="006A55F9"/>
    <w:rsid w:val="006C3F97"/>
    <w:rsid w:val="006F5A1B"/>
    <w:rsid w:val="00746F16"/>
    <w:rsid w:val="00785C2B"/>
    <w:rsid w:val="007E11F7"/>
    <w:rsid w:val="007F6441"/>
    <w:rsid w:val="00890E8A"/>
    <w:rsid w:val="008C5014"/>
    <w:rsid w:val="008E1480"/>
    <w:rsid w:val="00901336"/>
    <w:rsid w:val="009752D5"/>
    <w:rsid w:val="009951A7"/>
    <w:rsid w:val="009A1523"/>
    <w:rsid w:val="009B1C92"/>
    <w:rsid w:val="009C4862"/>
    <w:rsid w:val="009E5430"/>
    <w:rsid w:val="009F07F5"/>
    <w:rsid w:val="00A10B46"/>
    <w:rsid w:val="00A14CE7"/>
    <w:rsid w:val="00A17167"/>
    <w:rsid w:val="00A519F1"/>
    <w:rsid w:val="00A60745"/>
    <w:rsid w:val="00A77B54"/>
    <w:rsid w:val="00AE4206"/>
    <w:rsid w:val="00AE796F"/>
    <w:rsid w:val="00AF2155"/>
    <w:rsid w:val="00B530E6"/>
    <w:rsid w:val="00B85181"/>
    <w:rsid w:val="00B92E73"/>
    <w:rsid w:val="00C20C6A"/>
    <w:rsid w:val="00C31192"/>
    <w:rsid w:val="00C55B5D"/>
    <w:rsid w:val="00C93FF1"/>
    <w:rsid w:val="00D20A23"/>
    <w:rsid w:val="00D32C05"/>
    <w:rsid w:val="00D767FF"/>
    <w:rsid w:val="00DE2DB9"/>
    <w:rsid w:val="00DF4D99"/>
    <w:rsid w:val="00E06F98"/>
    <w:rsid w:val="00E52CA5"/>
    <w:rsid w:val="00E53096"/>
    <w:rsid w:val="00F14040"/>
    <w:rsid w:val="00F358A0"/>
    <w:rsid w:val="00F4103B"/>
    <w:rsid w:val="00F6671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paragraph" w:styleId="FootnoteText">
    <w:name w:val="footnote text"/>
    <w:basedOn w:val="Normal"/>
    <w:link w:val="FootnoteTextChar"/>
    <w:uiPriority w:val="99"/>
    <w:semiHidden/>
    <w:unhideWhenUsed/>
    <w:rsid w:val="00785C2B"/>
    <w:pPr>
      <w:spacing w:after="0" w:line="240" w:lineRule="auto"/>
    </w:pPr>
    <w:rPr>
      <w:rFonts w:eastAsiaTheme="minorHAnsi"/>
      <w:kern w:val="2"/>
      <w:sz w:val="20"/>
      <w:szCs w:val="20"/>
      <w:lang w:val="fr-BE"/>
      <w14:ligatures w14:val="standardContextual"/>
    </w:rPr>
  </w:style>
  <w:style w:type="character" w:customStyle="1" w:styleId="FootnoteTextChar">
    <w:name w:val="Footnote Text Char"/>
    <w:basedOn w:val="DefaultParagraphFont"/>
    <w:link w:val="FootnoteText"/>
    <w:uiPriority w:val="99"/>
    <w:semiHidden/>
    <w:rsid w:val="00785C2B"/>
    <w:rPr>
      <w:rFonts w:eastAsiaTheme="minorHAnsi"/>
      <w:kern w:val="2"/>
      <w:sz w:val="20"/>
      <w:szCs w:val="20"/>
      <w:lang w:val="fr-BE"/>
      <w14:ligatures w14:val="standardContextual"/>
    </w:rPr>
  </w:style>
  <w:style w:type="character" w:styleId="FootnoteReference">
    <w:name w:val="footnote reference"/>
    <w:basedOn w:val="DefaultParagraphFont"/>
    <w:uiPriority w:val="99"/>
    <w:semiHidden/>
    <w:unhideWhenUsed/>
    <w:rsid w:val="00785C2B"/>
    <w:rPr>
      <w:vertAlign w:val="superscript"/>
    </w:rPr>
  </w:style>
  <w:style w:type="character" w:styleId="FollowedHyperlink">
    <w:name w:val="FollowedHyperlink"/>
    <w:basedOn w:val="DefaultParagraphFont"/>
    <w:uiPriority w:val="99"/>
    <w:semiHidden/>
    <w:unhideWhenUsed/>
    <w:rsid w:val="00D32C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404777">
      <w:bodyDiv w:val="1"/>
      <w:marLeft w:val="0"/>
      <w:marRight w:val="0"/>
      <w:marTop w:val="0"/>
      <w:marBottom w:val="0"/>
      <w:divBdr>
        <w:top w:val="none" w:sz="0" w:space="0" w:color="auto"/>
        <w:left w:val="none" w:sz="0" w:space="0" w:color="auto"/>
        <w:bottom w:val="none" w:sz="0" w:space="0" w:color="auto"/>
        <w:right w:val="none" w:sz="0" w:space="0" w:color="auto"/>
      </w:divBdr>
    </w:div>
    <w:div w:id="567307115">
      <w:bodyDiv w:val="1"/>
      <w:marLeft w:val="0"/>
      <w:marRight w:val="0"/>
      <w:marTop w:val="0"/>
      <w:marBottom w:val="0"/>
      <w:divBdr>
        <w:top w:val="none" w:sz="0" w:space="0" w:color="auto"/>
        <w:left w:val="none" w:sz="0" w:space="0" w:color="auto"/>
        <w:bottom w:val="none" w:sz="0" w:space="0" w:color="auto"/>
        <w:right w:val="none" w:sz="0" w:space="0" w:color="auto"/>
      </w:divBdr>
    </w:div>
    <w:div w:id="1144201008">
      <w:bodyDiv w:val="1"/>
      <w:marLeft w:val="0"/>
      <w:marRight w:val="0"/>
      <w:marTop w:val="0"/>
      <w:marBottom w:val="0"/>
      <w:divBdr>
        <w:top w:val="none" w:sz="0" w:space="0" w:color="auto"/>
        <w:left w:val="none" w:sz="0" w:space="0" w:color="auto"/>
        <w:bottom w:val="none" w:sz="0" w:space="0" w:color="auto"/>
        <w:right w:val="none" w:sz="0" w:space="0" w:color="auto"/>
      </w:divBdr>
    </w:div>
    <w:div w:id="193228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statbel.fgov.be/fr/nouvelles/pres-dun-belge-sur-dix-est-en-situation-de-privation-materielle-et-social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hart" Target="charts/chart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question@mi-is.be" TargetMode="External"/><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srvfas4\MI_Public\4.%20Statistieken%20-%20Statistiques\30.%20WG%20Sociale%20Impact%20Crisis\Overzicht%20data%202025.05%20-%20monitoring_sociale%20impactenqu&#234;t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nl-BE" sz="1100" b="1" i="0" u="none" strike="noStrike" kern="1200" spc="0" baseline="0">
                <a:solidFill>
                  <a:schemeClr val="tx1">
                    <a:lumMod val="75000"/>
                    <a:lumOff val="25000"/>
                  </a:schemeClr>
                </a:solidFill>
              </a:rPr>
              <a:t>Aides complémentaires : évolution du nombre de demandes</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nl-BE"/>
        </a:p>
      </c:txPr>
    </c:title>
    <c:autoTitleDeleted val="0"/>
    <c:plotArea>
      <c:layout/>
      <c:lineChart>
        <c:grouping val="standard"/>
        <c:varyColors val="0"/>
        <c:ser>
          <c:idx val="12"/>
          <c:order val="2"/>
          <c:tx>
            <c:strRef>
              <c:f>'Begunstigden_soc. imp. enquête'!$BT$14</c:f>
              <c:strCache>
                <c:ptCount val="1"/>
                <c:pt idx="0">
                  <c:v>Aide alimentaire</c:v>
                </c:pt>
              </c:strCache>
            </c:strRef>
          </c:tx>
          <c:spPr>
            <a:ln w="28575" cap="rnd">
              <a:solidFill>
                <a:srgbClr val="00B050"/>
              </a:solidFill>
              <a:round/>
            </a:ln>
            <a:effectLst/>
          </c:spPr>
          <c:marker>
            <c:symbol val="triangle"/>
            <c:size val="5"/>
            <c:spPr>
              <a:solidFill>
                <a:srgbClr val="00B050"/>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enquête'!$Z$14:$BE$14</c:f>
              <c:numCache>
                <c:formatCode>0</c:formatCode>
                <c:ptCount val="32"/>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numCache>
            </c:numRef>
          </c:val>
          <c:smooth val="0"/>
          <c:extLst>
            <c:ext xmlns:c16="http://schemas.microsoft.com/office/drawing/2014/chart" uri="{C3380CC4-5D6E-409C-BE32-E72D297353CC}">
              <c16:uniqueId val="{00000002-906A-4229-802E-F5BC94CA3152}"/>
            </c:ext>
          </c:extLst>
        </c:ser>
        <c:ser>
          <c:idx val="13"/>
          <c:order val="3"/>
          <c:tx>
            <c:strRef>
              <c:f>'Begunstigden_soc. imp. enquête'!$BT$15</c:f>
              <c:strCache>
                <c:ptCount val="1"/>
                <c:pt idx="0">
                  <c:v>Aide alimentaire - chiffres provisoires</c:v>
                </c:pt>
              </c:strCache>
            </c:strRef>
          </c:tx>
          <c:spPr>
            <a:ln w="28575" cap="rnd">
              <a:solidFill>
                <a:schemeClr val="accent6"/>
              </a:solidFill>
              <a:prstDash val="sysDot"/>
              <a:round/>
            </a:ln>
            <a:effectLst/>
          </c:spPr>
          <c:marker>
            <c:symbol val="circle"/>
            <c:size val="5"/>
            <c:spPr>
              <a:solidFill>
                <a:schemeClr val="accent6"/>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enquête'!$Z$15:$BI$15</c:f>
              <c:numCache>
                <c:formatCode>0</c:formatCode>
                <c:ptCount val="36"/>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pt idx="32">
                  <c:v>100903.97256613722</c:v>
                </c:pt>
                <c:pt idx="33">
                  <c:v>111336.97111444494</c:v>
                </c:pt>
                <c:pt idx="34">
                  <c:v>94264.11266373095</c:v>
                </c:pt>
                <c:pt idx="35">
                  <c:v>92274.425589411811</c:v>
                </c:pt>
              </c:numCache>
            </c:numRef>
          </c:val>
          <c:smooth val="0"/>
          <c:extLst xmlns:c15="http://schemas.microsoft.com/office/drawing/2012/chart">
            <c:ext xmlns:c16="http://schemas.microsoft.com/office/drawing/2014/chart" uri="{C3380CC4-5D6E-409C-BE32-E72D297353CC}">
              <c16:uniqueId val="{00000003-906A-4229-802E-F5BC94CA3152}"/>
            </c:ext>
          </c:extLst>
        </c:ser>
        <c:ser>
          <c:idx val="4"/>
          <c:order val="8"/>
          <c:tx>
            <c:strRef>
              <c:f>'Begunstigden_soc. imp. enquête'!$BT$16</c:f>
              <c:strCache>
                <c:ptCount val="1"/>
                <c:pt idx="0">
                  <c:v>Aide pour l'eau et l'énergie</c:v>
                </c:pt>
              </c:strCache>
            </c:strRef>
          </c:tx>
          <c:spPr>
            <a:ln w="28575" cap="rnd">
              <a:solidFill>
                <a:schemeClr val="accent1">
                  <a:lumMod val="60000"/>
                  <a:lumOff val="40000"/>
                </a:schemeClr>
              </a:solidFill>
              <a:round/>
            </a:ln>
            <a:effectLst/>
          </c:spPr>
          <c:marker>
            <c:symbol val="circle"/>
            <c:size val="5"/>
            <c:spPr>
              <a:solidFill>
                <a:schemeClr val="accent1">
                  <a:lumMod val="60000"/>
                  <a:lumOff val="40000"/>
                </a:schemeClr>
              </a:solidFill>
              <a:ln w="9525">
                <a:solidFill>
                  <a:schemeClr val="accent1">
                    <a:lumMod val="60000"/>
                    <a:lumOff val="40000"/>
                  </a:schemeClr>
                </a:solidFill>
              </a:ln>
              <a:effectLst/>
            </c:spPr>
          </c:marker>
          <c:val>
            <c:numRef>
              <c:f>'Begunstigden_soc. imp. enquête'!$B$16:$BI$16</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4-906A-4229-802E-F5BC94CA3152}"/>
            </c:ext>
          </c:extLst>
        </c:ser>
        <c:ser>
          <c:idx val="5"/>
          <c:order val="9"/>
          <c:tx>
            <c:strRef>
              <c:f>'Begunstigden_soc. imp. enquête'!$BT$17</c:f>
              <c:strCache>
                <c:ptCount val="1"/>
                <c:pt idx="0">
                  <c:v>Aide pour l'eau et l'énergie - chiffres provisoires</c:v>
                </c:pt>
              </c:strCache>
            </c:strRef>
          </c:tx>
          <c:spPr>
            <a:ln w="28575" cap="rnd">
              <a:solidFill>
                <a:schemeClr val="accent1">
                  <a:lumMod val="60000"/>
                  <a:lumOff val="40000"/>
                </a:schemeClr>
              </a:solidFill>
              <a:prstDash val="sysDot"/>
              <a:round/>
            </a:ln>
            <a:effectLst/>
          </c:spPr>
          <c:marker>
            <c:symbol val="circle"/>
            <c:size val="5"/>
            <c:spPr>
              <a:solidFill>
                <a:schemeClr val="accent1">
                  <a:lumMod val="60000"/>
                  <a:lumOff val="40000"/>
                </a:schemeClr>
              </a:solidFill>
              <a:ln w="9525">
                <a:solidFill>
                  <a:schemeClr val="accent1">
                    <a:lumMod val="60000"/>
                    <a:lumOff val="40000"/>
                  </a:schemeClr>
                </a:solidFill>
                <a:prstDash val="sysDot"/>
              </a:ln>
              <a:effectLst/>
            </c:spPr>
          </c:marker>
          <c:val>
            <c:numRef>
              <c:f>'Begunstigden_soc. imp. enquête'!$B$17:$BI$17</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5-906A-4229-802E-F5BC94CA3152}"/>
            </c:ext>
          </c:extLst>
        </c:ser>
        <c:dLbls>
          <c:showLegendKey val="0"/>
          <c:showVal val="0"/>
          <c:showCatName val="0"/>
          <c:showSerName val="0"/>
          <c:showPercent val="0"/>
          <c:showBubbleSize val="0"/>
        </c:dLbls>
        <c:marker val="1"/>
        <c:smooth val="0"/>
        <c:axId val="449351600"/>
        <c:axId val="449349936"/>
        <c:extLst>
          <c:ext xmlns:c15="http://schemas.microsoft.com/office/drawing/2012/chart" uri="{02D57815-91ED-43cb-92C2-25804820EDAC}">
            <c15:filteredLineSeries>
              <c15:ser>
                <c:idx val="6"/>
                <c:order val="0"/>
                <c:tx>
                  <c:strRef>
                    <c:extLst>
                      <c:ext uri="{02D57815-91ED-43cb-92C2-25804820EDAC}">
                        <c15:formulaRef>
                          <c15:sqref>'Begunstigden_soc. imp. enquête'!$BT$8</c15:sqref>
                        </c15:formulaRef>
                      </c:ext>
                    </c:extLst>
                    <c:strCache>
                      <c:ptCount val="1"/>
                      <c:pt idx="0">
                        <c:v>Lutte contre la pauvreté infantile</c:v>
                      </c:pt>
                    </c:strCache>
                  </c:strRef>
                </c:tx>
                <c:spPr>
                  <a:ln w="28575" cap="rnd">
                    <a:solidFill>
                      <a:schemeClr val="accent2">
                        <a:lumMod val="75000"/>
                      </a:schemeClr>
                    </a:solidFill>
                    <a:round/>
                  </a:ln>
                  <a:effectLst/>
                </c:spPr>
                <c:marker>
                  <c:symbol val="square"/>
                  <c:size val="5"/>
                  <c:spPr>
                    <a:solidFill>
                      <a:schemeClr val="accent2">
                        <a:lumMod val="75000"/>
                      </a:schemeClr>
                    </a:solidFill>
                    <a:ln w="9525">
                      <a:solidFill>
                        <a:schemeClr val="accent2">
                          <a:lumMod val="75000"/>
                        </a:schemeClr>
                      </a:solidFill>
                    </a:ln>
                    <a:effectLst/>
                  </c:spPr>
                </c:marker>
                <c:cat>
                  <c:numRef>
                    <c:extLst>
                      <c:ex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c:ext uri="{02D57815-91ED-43cb-92C2-25804820EDAC}">
                        <c15:formulaRef>
                          <c15:sqref>'Begunstigden_soc. imp. enquête'!$Z$8:$BG$8</c15:sqref>
                        </c15:formulaRef>
                      </c:ext>
                    </c:extLst>
                    <c:numCache>
                      <c:formatCode>0</c:formatCode>
                      <c:ptCount val="34"/>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numCache>
                  </c:numRef>
                </c:val>
                <c:smooth val="0"/>
                <c:extLst>
                  <c:ext xmlns:c16="http://schemas.microsoft.com/office/drawing/2014/chart" uri="{C3380CC4-5D6E-409C-BE32-E72D297353CC}">
                    <c16:uniqueId val="{00000006-906A-4229-802E-F5BC94CA3152}"/>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'Begunstigden_soc. imp. enquête'!$BT$9</c15:sqref>
                        </c15:formulaRef>
                      </c:ext>
                    </c:extLst>
                    <c:strCache>
                      <c:ptCount val="1"/>
                      <c:pt idx="0">
                        <c:v>Lutte contre la pauvreté infantile - chiffres provisoires</c:v>
                      </c:pt>
                    </c:strCache>
                  </c:strRef>
                </c:tx>
                <c:spPr>
                  <a:ln w="28575" cap="rnd">
                    <a:solidFill>
                      <a:schemeClr val="accent2">
                        <a:lumMod val="75000"/>
                      </a:schemeClr>
                    </a:solidFill>
                    <a:prstDash val="sysDash"/>
                    <a:round/>
                  </a:ln>
                  <a:effectLst/>
                </c:spPr>
                <c:marker>
                  <c:symbol val="circle"/>
                  <c:size val="5"/>
                  <c:spPr>
                    <a:solidFill>
                      <a:schemeClr val="accent2">
                        <a:lumMod val="60000"/>
                      </a:schemeClr>
                    </a:solidFill>
                    <a:ln w="9525">
                      <a:solidFill>
                        <a:schemeClr val="accent2">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enquête'!$Z$9:$BI$9</c15:sqref>
                        </c15:formulaRef>
                      </c:ext>
                    </c:extLst>
                    <c:numCache>
                      <c:formatCode>0</c:formatCode>
                      <c:ptCount val="36"/>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pt idx="34">
                        <c:v>8007.5935782092274</c:v>
                      </c:pt>
                      <c:pt idx="35">
                        <c:v>8480.2698137138996</c:v>
                      </c:pt>
                    </c:numCache>
                  </c:numRef>
                </c:val>
                <c:smooth val="0"/>
                <c:extLst xmlns:c15="http://schemas.microsoft.com/office/drawing/2012/chart">
                  <c:ext xmlns:c16="http://schemas.microsoft.com/office/drawing/2014/chart" uri="{C3380CC4-5D6E-409C-BE32-E72D297353CC}">
                    <c16:uniqueId val="{00000007-906A-4229-802E-F5BC94CA3152}"/>
                  </c:ext>
                </c:extLst>
              </c15:ser>
            </c15:filteredLineSeries>
            <c15:filteredLineSeries>
              <c15:ser>
                <c:idx val="2"/>
                <c:order val="4"/>
                <c:tx>
                  <c:strRef>
                    <c:extLst xmlns:c15="http://schemas.microsoft.com/office/drawing/2012/chart">
                      <c:ext xmlns:c15="http://schemas.microsoft.com/office/drawing/2012/chart" uri="{02D57815-91ED-43cb-92C2-25804820EDAC}">
                        <c15:formulaRef>
                          <c15:sqref>'Begunstigden_soc. imp. enquête'!$A$4</c15:sqref>
                        </c15:formulaRef>
                      </c:ext>
                    </c:extLst>
                    <c:strCache>
                      <c:ptCount val="1"/>
                      <c:pt idx="0">
                        <c:v>Leefloon in vorm van voorschot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enquête'!$Z$4:$AZ$4</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8-906A-4229-802E-F5BC94CA3152}"/>
                  </c:ext>
                </c:extLst>
              </c15:ser>
            </c15:filteredLineSeries>
            <c15:filteredLineSeries>
              <c15:ser>
                <c:idx val="3"/>
                <c:order val="5"/>
                <c:tx>
                  <c:strRef>
                    <c:extLst xmlns:c15="http://schemas.microsoft.com/office/drawing/2012/chart">
                      <c:ext xmlns:c15="http://schemas.microsoft.com/office/drawing/2012/chart" uri="{02D57815-91ED-43cb-92C2-25804820EDAC}">
                        <c15:formulaRef>
                          <c15:sqref>'Begunstigden_soc. imp. enquête'!$A$5</c15:sqref>
                        </c15:formulaRef>
                      </c:ext>
                    </c:extLst>
                    <c:strCache>
                      <c:ptCount val="1"/>
                      <c:pt idx="0">
                        <c:v>Leefloon in vorm van voorschot - voorlopig cijfer</c:v>
                      </c:pt>
                    </c:strCache>
                  </c:strRef>
                </c:tx>
                <c:spPr>
                  <a:ln w="28575" cap="rnd">
                    <a:solidFill>
                      <a:schemeClr val="accent4"/>
                    </a:solidFill>
                    <a:round/>
                  </a:ln>
                  <a:effectLst/>
                </c:spPr>
                <c:marker>
                  <c:symbol val="circle"/>
                  <c:size val="5"/>
                  <c:spPr>
                    <a:solidFill>
                      <a:srgbClr val="7030A0"/>
                    </a:solidFill>
                    <a:ln w="9525">
                      <a:solidFill>
                        <a:schemeClr val="accent4"/>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enquête'!$Z$5:$AZ$5</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9-906A-4229-802E-F5BC94CA3152}"/>
                  </c:ext>
                </c:extLst>
              </c15:ser>
            </c15:filteredLineSeries>
            <c15:filteredLineSeries>
              <c15:ser>
                <c:idx val="11"/>
                <c:order val="6"/>
                <c:tx>
                  <c:strRef>
                    <c:extLst xmlns:c15="http://schemas.microsoft.com/office/drawing/2012/chart">
                      <c:ext xmlns:c15="http://schemas.microsoft.com/office/drawing/2012/chart" uri="{02D57815-91ED-43cb-92C2-25804820EDAC}">
                        <c15:formulaRef>
                          <c15:sqref>'Begunstigden_soc. imp. enquête'!$A$20</c15:sqref>
                        </c15:formulaRef>
                      </c:ext>
                    </c:extLst>
                    <c:strCache>
                      <c:ptCount val="1"/>
                      <c:pt idx="0">
                        <c:v>Financiële hulp</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enquête'!$Z$20:$BC$20</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A-906A-4229-802E-F5BC94CA3152}"/>
                  </c:ext>
                </c:extLst>
              </c15:ser>
            </c15:filteredLineSeries>
            <c15:filteredLineSeries>
              <c15:ser>
                <c:idx val="14"/>
                <c:order val="7"/>
                <c:tx>
                  <c:strRef>
                    <c:extLst xmlns:c15="http://schemas.microsoft.com/office/drawing/2012/chart">
                      <c:ext xmlns:c15="http://schemas.microsoft.com/office/drawing/2012/chart" uri="{02D57815-91ED-43cb-92C2-25804820EDAC}">
                        <c15:formulaRef>
                          <c15:sqref>'Begunstigden_soc. imp. enquête'!$A$21</c15:sqref>
                        </c15:formulaRef>
                      </c:ext>
                    </c:extLst>
                    <c:strCache>
                      <c:ptCount val="1"/>
                      <c:pt idx="0">
                        <c:v>Financiële hulp - voorlopig cijfer</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enquête'!$Z$21:$BC$21</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B-906A-4229-802E-F5BC94CA3152}"/>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'Begunstigden_soc. imp. enquête'!$BT$18</c15:sqref>
                        </c15:formulaRef>
                      </c:ext>
                    </c:extLst>
                    <c:strCache>
                      <c:ptCount val="1"/>
                      <c:pt idx="0">
                        <c:v>Aide au logement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enquête'!$B$18:$BI$18</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C-906A-4229-802E-F5BC94CA3152}"/>
                  </c:ext>
                </c:extLst>
              </c15:ser>
            </c15:filteredLineSeries>
            <c15:filteredLineSeries>
              <c15:ser>
                <c:idx val="15"/>
                <c:order val="11"/>
                <c:tx>
                  <c:strRef>
                    <c:extLst xmlns:c15="http://schemas.microsoft.com/office/drawing/2012/chart">
                      <c:ext xmlns:c15="http://schemas.microsoft.com/office/drawing/2012/chart" uri="{02D57815-91ED-43cb-92C2-25804820EDAC}">
                        <c15:formulaRef>
                          <c15:sqref>'Begunstigden_soc. imp. enquête'!$BT$19</c15:sqref>
                        </c15:formulaRef>
                      </c:ext>
                    </c:extLst>
                    <c:strCache>
                      <c:ptCount val="1"/>
                      <c:pt idx="0">
                        <c:v>Aide au logement - chiffres provisoires</c:v>
                      </c:pt>
                    </c:strCache>
                  </c:strRef>
                </c:tx>
                <c:spPr>
                  <a:ln w="28575" cap="rnd">
                    <a:solidFill>
                      <a:schemeClr val="accent3"/>
                    </a:solidFill>
                    <a:prstDash val="sysDot"/>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enquête'!$B$19:$BI$19</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D-906A-4229-802E-F5BC94CA3152}"/>
                  </c:ext>
                </c:extLst>
              </c15:ser>
            </c15:filteredLineSeries>
          </c:ext>
        </c:extLst>
      </c:lineChart>
      <c:dateAx>
        <c:axId val="449351600"/>
        <c:scaling>
          <c:orientation val="minMax"/>
          <c:max val="45627"/>
        </c:scaling>
        <c:delete val="0"/>
        <c:axPos val="b"/>
        <c:numFmt formatCode="[$-413]mmm/yy;@" sourceLinked="0"/>
        <c:majorTickMark val="out"/>
        <c:minorTickMark val="none"/>
        <c:tickLblPos val="nextTo"/>
        <c:spPr>
          <a:noFill/>
          <a:ln w="9525" cap="flat" cmpd="sng" algn="ctr">
            <a:solidFill>
              <a:schemeClr val="accent3"/>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49936"/>
        <c:crosses val="autoZero"/>
        <c:auto val="1"/>
        <c:lblOffset val="100"/>
        <c:baseTimeUnit val="months"/>
      </c:dateAx>
      <c:valAx>
        <c:axId val="449349936"/>
        <c:scaling>
          <c:orientation val="minMax"/>
        </c:scaling>
        <c:delete val="0"/>
        <c:axPos val="l"/>
        <c:majorGridlines>
          <c:spPr>
            <a:ln w="6350" cap="flat" cmpd="sng" algn="ctr">
              <a:solidFill>
                <a:schemeClr val="accent3">
                  <a:lumMod val="20000"/>
                  <a:lumOff val="80000"/>
                  <a:alpha val="99000"/>
                </a:schemeClr>
              </a:solidFill>
              <a:round/>
            </a:ln>
            <a:effectLst/>
          </c:spPr>
        </c:majorGridlines>
        <c:numFmt formatCode="#,##0" sourceLinked="0"/>
        <c:majorTickMark val="none"/>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51600"/>
        <c:crosses val="autoZero"/>
        <c:crossBetween val="between"/>
      </c:valAx>
      <c:spPr>
        <a:solidFill>
          <a:schemeClr val="bg1"/>
        </a:solidFill>
        <a:ln>
          <a:solidFill>
            <a:schemeClr val="bg1"/>
          </a:solidFill>
        </a:ln>
        <a:effectLst/>
      </c:spPr>
    </c:plotArea>
    <c:legend>
      <c:legendPos val="b"/>
      <c:legendEntry>
        <c:idx val="1"/>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B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customXsn xmlns="http://schemas.microsoft.com/office/2006/metadata/customXsn">
  <xsnLocation/>
  <cached>True</cached>
  <openByDefault>False</openByDefault>
  <xsnScope>https://memopoint.yourict.be/dep</xsnScope>
</customXsn>
</file>

<file path=customXml/item5.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2.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3.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4.xml><?xml version="1.0" encoding="utf-8"?>
<ds:datastoreItem xmlns:ds="http://schemas.openxmlformats.org/officeDocument/2006/customXml" ds:itemID="{88D98776-A160-46C1-8542-B83C154A07A9}">
  <ds:schemaRefs>
    <ds:schemaRef ds:uri="http://schemas.microsoft.com/office/2006/metadata/customXsn"/>
  </ds:schemaRefs>
</ds:datastoreItem>
</file>

<file path=customXml/itemProps5.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C0F58F-8C67-4F4D-9464-0F1717B182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669</Words>
  <Characters>3680</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14</cp:revision>
  <dcterms:created xsi:type="dcterms:W3CDTF">2025-05-19T12:03:00Z</dcterms:created>
  <dcterms:modified xsi:type="dcterms:W3CDTF">2025-06-13T07:45:00Z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