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6D34" w14:textId="44222B5A" w:rsidR="004106B9" w:rsidRPr="00B339EA" w:rsidRDefault="004106B9" w:rsidP="2655E24E">
      <w:pPr>
        <w:rPr>
          <w:rFonts w:ascii="Verdana" w:eastAsia="Verdana" w:hAnsi="Verdana" w:cs="Verdana"/>
          <w:b/>
          <w:bCs/>
          <w:i/>
          <w:iCs/>
          <w:lang w:val="nl-BE"/>
        </w:rPr>
      </w:pPr>
      <w:r w:rsidRPr="2655E24E">
        <w:rPr>
          <w:rFonts w:ascii="Verdana" w:eastAsia="Verdana" w:hAnsi="Verdana" w:cs="Verdana"/>
          <w:b/>
          <w:bCs/>
          <w:i/>
          <w:iCs/>
          <w:lang w:val="nl-BE"/>
        </w:rPr>
        <w:t xml:space="preserve">Personen met een handicap in het zomerakkoord? Totaal vergeten! </w:t>
      </w:r>
    </w:p>
    <w:p w14:paraId="138A423A" w14:textId="75C5D6EA" w:rsidR="004106B9" w:rsidRPr="00B339EA" w:rsidRDefault="00B339EA" w:rsidP="004106B9">
      <w:pPr>
        <w:rPr>
          <w:rFonts w:ascii="Verdana" w:eastAsia="Verdana" w:hAnsi="Verdana" w:cs="Verdana"/>
          <w:b/>
          <w:bCs/>
          <w:sz w:val="22"/>
          <w:szCs w:val="22"/>
          <w:lang w:val="nl-BE"/>
        </w:rPr>
      </w:pPr>
      <w:r w:rsidRPr="2655E24E">
        <w:rPr>
          <w:rFonts w:ascii="Verdana" w:eastAsia="Verdana" w:hAnsi="Verdana" w:cs="Verdana"/>
          <w:b/>
          <w:bCs/>
          <w:sz w:val="22"/>
          <w:szCs w:val="22"/>
          <w:lang w:val="nl-BE"/>
        </w:rPr>
        <w:t>O</w:t>
      </w:r>
      <w:r w:rsidR="004106B9" w:rsidRPr="2655E24E">
        <w:rPr>
          <w:rFonts w:ascii="Verdana" w:eastAsia="Verdana" w:hAnsi="Verdana" w:cs="Verdana"/>
          <w:b/>
          <w:bCs/>
          <w:sz w:val="22"/>
          <w:szCs w:val="22"/>
          <w:lang w:val="nl-BE"/>
        </w:rPr>
        <w:t xml:space="preserve">pen brief naar aanleiding van het zomerakkoord 2025 </w:t>
      </w:r>
      <w:r w:rsidR="6E1B6E04" w:rsidRPr="2655E24E">
        <w:rPr>
          <w:rFonts w:ascii="Verdana" w:eastAsia="Verdana" w:hAnsi="Verdana" w:cs="Verdana"/>
          <w:b/>
          <w:bCs/>
          <w:sz w:val="22"/>
          <w:szCs w:val="22"/>
          <w:lang w:val="nl-BE"/>
        </w:rPr>
        <w:t>van de federale regering</w:t>
      </w:r>
    </w:p>
    <w:p w14:paraId="3A1B78D9" w14:textId="77777777" w:rsidR="004106B9" w:rsidRPr="00B43F6D" w:rsidRDefault="004106B9" w:rsidP="004106B9">
      <w:pPr>
        <w:rPr>
          <w:rFonts w:ascii="Verdana" w:eastAsia="Verdana" w:hAnsi="Verdana" w:cs="Verdana"/>
          <w:sz w:val="22"/>
          <w:szCs w:val="22"/>
          <w:lang w:val="nl-BE"/>
        </w:rPr>
      </w:pPr>
    </w:p>
    <w:p w14:paraId="4AF7E523" w14:textId="1B8CA764" w:rsidR="004106B9" w:rsidRPr="00B43F6D" w:rsidRDefault="004106B9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L’accord de gouvernement de l’été 2025 fixe une série de décisions dans un grand nombre de domaines économiques et sociaux</w:t>
      </w:r>
      <w:r w:rsidR="1360742C" w:rsidRPr="00B43F6D">
        <w:rPr>
          <w:rFonts w:ascii="Verdana" w:eastAsia="Verdana" w:hAnsi="Verdana" w:cs="Verdana"/>
          <w:sz w:val="22"/>
          <w:szCs w:val="22"/>
          <w:lang w:val="fr-BE"/>
        </w:rPr>
        <w:t xml:space="preserve">. Ces </w:t>
      </w:r>
      <w:r w:rsidR="1360742C"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décisions </w:t>
      </w:r>
      <w:r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augmentent </w:t>
      </w:r>
      <w:r w:rsidR="006B4629"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>encore</w:t>
      </w:r>
      <w:r w:rsidR="72EDA59E"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 </w:t>
      </w:r>
      <w:r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>la précarit</w:t>
      </w:r>
      <w:r w:rsidR="17CA116E"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>é</w:t>
      </w:r>
      <w:r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 et la vulnérabilité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déjà existante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s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des personnes e</w:t>
      </w:r>
      <w:r w:rsidR="4565BFF0" w:rsidRPr="00B43F6D">
        <w:rPr>
          <w:rFonts w:ascii="Verdana" w:eastAsia="Verdana" w:hAnsi="Verdana" w:cs="Verdana"/>
          <w:sz w:val="22"/>
          <w:szCs w:val="22"/>
          <w:lang w:val="fr-BE"/>
        </w:rPr>
        <w:t>n s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ituation de handicap</w:t>
      </w:r>
      <w:r w:rsidR="2E6337EC" w:rsidRPr="00B43F6D">
        <w:rPr>
          <w:rFonts w:ascii="Verdana" w:eastAsia="Verdana" w:hAnsi="Verdana" w:cs="Verdana"/>
          <w:sz w:val="22"/>
          <w:szCs w:val="22"/>
          <w:lang w:val="fr-BE"/>
        </w:rPr>
        <w:t>,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de leur famille,</w:t>
      </w:r>
      <w:r w:rsidR="33F873CA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des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aidants proches</w:t>
      </w:r>
      <w:r w:rsidR="41A4E485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et de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 xml:space="preserve">s </w:t>
      </w:r>
      <w:r w:rsidR="41A4E485" w:rsidRPr="00B43F6D">
        <w:rPr>
          <w:rFonts w:ascii="Verdana" w:eastAsia="Verdana" w:hAnsi="Verdana" w:cs="Verdana"/>
          <w:sz w:val="22"/>
          <w:szCs w:val="22"/>
          <w:lang w:val="fr-BE"/>
        </w:rPr>
        <w:t>associations</w:t>
      </w:r>
      <w:r w:rsidR="1C29A1E0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: notamment</w:t>
      </w:r>
      <w:r w:rsidR="00B43F6D" w:rsidRPr="00B43F6D">
        <w:rPr>
          <w:rFonts w:ascii="Verdana" w:eastAsia="Verdana" w:hAnsi="Verdana" w:cs="Verdana"/>
          <w:sz w:val="22"/>
          <w:szCs w:val="22"/>
          <w:lang w:val="fr-BE"/>
        </w:rPr>
        <w:t>,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231E546C" w14:textId="408D4261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l</w:t>
      </w:r>
      <w:r w:rsidR="00B1370D" w:rsidRPr="00B43F6D">
        <w:rPr>
          <w:rFonts w:ascii="Verdana" w:eastAsia="Verdana" w:hAnsi="Verdana" w:cs="Verdana"/>
          <w:sz w:val="22"/>
          <w:szCs w:val="22"/>
          <w:lang w:val="fr-BE"/>
        </w:rPr>
        <w:t xml:space="preserve">imitation dans le </w:t>
      </w:r>
      <w:r w:rsidR="001817C5" w:rsidRPr="00B43F6D">
        <w:rPr>
          <w:rFonts w:ascii="Verdana" w:eastAsia="Verdana" w:hAnsi="Verdana" w:cs="Verdana"/>
          <w:sz w:val="22"/>
          <w:szCs w:val="22"/>
          <w:lang w:val="fr-BE"/>
        </w:rPr>
        <w:t>temps des allocations de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chômage</w:t>
      </w:r>
    </w:p>
    <w:p w14:paraId="2DDD9569" w14:textId="111F74B3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uppression de certain</w:t>
      </w:r>
      <w:r w:rsidR="6EC6EF7C" w:rsidRPr="00B43F6D">
        <w:rPr>
          <w:rFonts w:ascii="Verdana" w:eastAsia="Verdana" w:hAnsi="Verdana" w:cs="Verdana"/>
          <w:sz w:val="22"/>
          <w:szCs w:val="22"/>
          <w:lang w:val="fr-BE"/>
        </w:rPr>
        <w:t>e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s formes de travail (ALE</w:t>
      </w:r>
      <w:r w:rsidR="00B339EA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par ex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)</w:t>
      </w:r>
    </w:p>
    <w:p w14:paraId="5D996B81" w14:textId="3286FE15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Le m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alus en cas de départ anticipé à la pension</w:t>
      </w:r>
    </w:p>
    <w:p w14:paraId="61BE1D83" w14:textId="6CF6464E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d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iminution de la déductibilité fiscale des dons </w:t>
      </w:r>
    </w:p>
    <w:p w14:paraId="557F08C6" w14:textId="768482F0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r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évision des procédures de licenciement et de préavis </w:t>
      </w:r>
    </w:p>
    <w:p w14:paraId="05807A23" w14:textId="10BD3F08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r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emise au travail de personnes en situation de handicap sans mesure</w:t>
      </w:r>
      <w:r w:rsidR="1BE86F7B" w:rsidRPr="00B43F6D">
        <w:rPr>
          <w:rFonts w:ascii="Verdana" w:eastAsia="Verdana" w:hAnsi="Verdana" w:cs="Verdana"/>
          <w:sz w:val="22"/>
          <w:szCs w:val="22"/>
          <w:lang w:val="fr-BE"/>
        </w:rPr>
        <w:t>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d’accompagnement concrète</w:t>
      </w:r>
      <w:r w:rsidR="7AD1B097" w:rsidRPr="00B43F6D">
        <w:rPr>
          <w:rFonts w:ascii="Verdana" w:eastAsia="Verdana" w:hAnsi="Verdana" w:cs="Verdana"/>
          <w:sz w:val="22"/>
          <w:szCs w:val="22"/>
          <w:lang w:val="fr-BE"/>
        </w:rPr>
        <w:t>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ni intégration d’un parcours de soins </w:t>
      </w:r>
    </w:p>
    <w:p w14:paraId="2CDA3AE7" w14:textId="0C199B85" w:rsidR="004106B9" w:rsidRPr="00B43F6D" w:rsidRDefault="00B43F6D" w:rsidP="004106B9">
      <w:pPr>
        <w:pStyle w:val="Paragraphedeliste"/>
        <w:numPr>
          <w:ilvl w:val="0"/>
          <w:numId w:val="1"/>
        </w:num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La 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uppression de congés thématiques</w:t>
      </w:r>
      <w:r w:rsidR="001C6B58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52F72D40" w14:textId="77777777" w:rsidR="00465B84" w:rsidRDefault="4CCB844A" w:rsidP="003D1CCD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’accord de l’été 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a lissé toutes les situations de vie, a considéré que tous les citoyens étaient (potentiellement)  identiques et a développé une série de mesures au départ du  postulat que « tout le monde peut y arriver</w:t>
      </w:r>
      <w:r w:rsidR="003D1CCD">
        <w:rPr>
          <w:rFonts w:ascii="Verdana" w:eastAsia="Verdana" w:hAnsi="Verdana" w:cs="Verdana"/>
          <w:sz w:val="22"/>
          <w:szCs w:val="22"/>
          <w:lang w:val="fr-BE"/>
        </w:rPr>
        <w:t>, avec de la volonté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 xml:space="preserve"> ». </w:t>
      </w:r>
    </w:p>
    <w:p w14:paraId="26877D8D" w14:textId="643D9CC5" w:rsidR="00465B84" w:rsidRPr="00143562" w:rsidRDefault="003D1CCD" w:rsidP="003D1CCD">
      <w:pPr>
        <w:rPr>
          <w:rStyle w:val="normaltextrun"/>
          <w:rFonts w:ascii="Verdana" w:hAnsi="Verdana" w:cs="Segoe UI"/>
          <w:b/>
          <w:bCs/>
          <w:sz w:val="22"/>
          <w:szCs w:val="22"/>
          <w:shd w:val="clear" w:color="auto" w:fill="FFFFFF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Le</w:t>
      </w:r>
      <w:r w:rsidR="00465B84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handicap ou la maladie induisent des conséquences concrètes dans le cadre de l’accès et au maintien à l’emploi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 </w:t>
      </w:r>
      <w:r w:rsidR="007019FF" w:rsidRPr="00143562">
        <w:rPr>
          <w:rStyle w:val="normaltextrun"/>
          <w:rFonts w:ascii="Verdana" w:hAnsi="Verdana" w:cs="Segoe UI"/>
          <w:b/>
          <w:bCs/>
          <w:sz w:val="22"/>
          <w:szCs w:val="22"/>
          <w:shd w:val="clear" w:color="auto" w:fill="FFFFFF"/>
          <w:lang w:val="fr-BE"/>
        </w:rPr>
        <w:t xml:space="preserve">; il relève de la responsabilité de l’Etat d’y remédier.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Ainsi</w:t>
      </w:r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,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le (candidat) travailleur </w:t>
      </w:r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en situation de handicap</w:t>
      </w:r>
    </w:p>
    <w:p w14:paraId="25ABAC1E" w14:textId="2B808463" w:rsidR="00465B84" w:rsidRPr="00143562" w:rsidRDefault="007019FF" w:rsidP="00465B84">
      <w:pPr>
        <w:pStyle w:val="Paragraphedeliste"/>
        <w:numPr>
          <w:ilvl w:val="0"/>
          <w:numId w:val="1"/>
        </w:numPr>
        <w:rPr>
          <w:rStyle w:val="normaltextrun"/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Doit pouvoir compter sur un 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accompagnement </w:t>
      </w:r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spécifique</w:t>
      </w:r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à et dans l’emploi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; </w:t>
      </w:r>
    </w:p>
    <w:p w14:paraId="28FBABF4" w14:textId="29A5F0BF" w:rsidR="00465B84" w:rsidRPr="00143562" w:rsidRDefault="007019FF" w:rsidP="00465B84">
      <w:pPr>
        <w:pStyle w:val="Paragraphedeliste"/>
        <w:numPr>
          <w:ilvl w:val="0"/>
          <w:numId w:val="1"/>
        </w:numPr>
        <w:rPr>
          <w:rStyle w:val="normaltextrun"/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Se verra intégrer la nécessité des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parcours de soins </w:t>
      </w: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dans le contrat de travail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</w:t>
      </w:r>
    </w:p>
    <w:p w14:paraId="61A1459D" w14:textId="2D538F17" w:rsidR="00465B84" w:rsidRPr="00143562" w:rsidRDefault="007019FF" w:rsidP="00465B84">
      <w:pPr>
        <w:pStyle w:val="Paragraphedeliste"/>
        <w:numPr>
          <w:ilvl w:val="0"/>
          <w:numId w:val="1"/>
        </w:numPr>
        <w:rPr>
          <w:rStyle w:val="normaltextrun"/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Doit constamment 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surmonter la barrière des préjugés des employeurs </w:t>
      </w: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- la réglementation sur les aménagements raisonnables et actions positives doit être effectivement appliquée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</w:t>
      </w:r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et le quota dans l’emploi privé doit devenir une réalité</w:t>
      </w:r>
    </w:p>
    <w:p w14:paraId="1160629A" w14:textId="237A55B1" w:rsidR="00465B84" w:rsidRPr="00143562" w:rsidRDefault="00143562" w:rsidP="00465B84">
      <w:pPr>
        <w:pStyle w:val="Paragraphedeliste"/>
        <w:numPr>
          <w:ilvl w:val="0"/>
          <w:numId w:val="1"/>
        </w:numPr>
        <w:rPr>
          <w:rStyle w:val="normaltextrun"/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Doit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pouvoir compter sur d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es formations (continues) accessibles, </w:t>
      </w:r>
    </w:p>
    <w:p w14:paraId="708ED6E5" w14:textId="787E2192" w:rsidR="007019FF" w:rsidRPr="00143562" w:rsidRDefault="00143562" w:rsidP="00465B84">
      <w:pPr>
        <w:pStyle w:val="Paragraphedeliste"/>
        <w:numPr>
          <w:ilvl w:val="0"/>
          <w:numId w:val="1"/>
        </w:numPr>
        <w:rPr>
          <w:rStyle w:val="normaltextrun"/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Doit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pouvoir compter sur des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transports en commun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accessibles – en ce compris intermodalité- 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,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d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es outils informatiques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adéquats</w:t>
      </w:r>
      <w:r w:rsidR="003D1CCD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, </w:t>
      </w:r>
      <w:r w:rsidR="007019FF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des aménagements des postes de travail et du temps de travail </w:t>
      </w:r>
    </w:p>
    <w:p w14:paraId="4A83C69C" w14:textId="4884E118" w:rsidR="003D1CCD" w:rsidRPr="00143562" w:rsidRDefault="003D1CCD" w:rsidP="005C5FFC">
      <w:pPr>
        <w:rPr>
          <w:rFonts w:ascii="Verdana" w:eastAsia="Verdana" w:hAnsi="Verdana" w:cs="Verdana"/>
          <w:sz w:val="22"/>
          <w:szCs w:val="22"/>
          <w:lang w:val="fr-BE"/>
        </w:rPr>
      </w:pP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De nombreux aidants sont dans une situation de rupture </w:t>
      </w:r>
      <w:proofErr w:type="spellStart"/>
      <w:r w:rsidR="00143562"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>prfessionnelle</w:t>
      </w:r>
      <w:proofErr w:type="spellEnd"/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t xml:space="preserve"> semblable : il manque cruellement de services collectifs (soins à domicile, logements adaptés, écoles accessibles...) ; les aidants proches mettent leur </w:t>
      </w:r>
      <w:r w:rsidRPr="00143562">
        <w:rPr>
          <w:rStyle w:val="normaltextrun"/>
          <w:rFonts w:ascii="Verdana" w:hAnsi="Verdana" w:cs="Segoe UI"/>
          <w:sz w:val="22"/>
          <w:szCs w:val="22"/>
          <w:shd w:val="clear" w:color="auto" w:fill="FFFFFF"/>
          <w:lang w:val="fr-BE"/>
        </w:rPr>
        <w:lastRenderedPageBreak/>
        <w:t>carrière en pause de nombreuses années, sans aucune reconnaissance de la société ! </w:t>
      </w:r>
      <w:r w:rsidRPr="00143562">
        <w:rPr>
          <w:rStyle w:val="eop"/>
          <w:rFonts w:ascii="Verdana" w:hAnsi="Verdana"/>
          <w:sz w:val="22"/>
          <w:szCs w:val="22"/>
          <w:lang w:val="fr-BE"/>
        </w:rPr>
        <w:t> Cette dimension est totalement inexistante dans l’accord de l’été</w:t>
      </w:r>
      <w:r w:rsidR="00143562" w:rsidRPr="00143562">
        <w:rPr>
          <w:rStyle w:val="eop"/>
          <w:rFonts w:ascii="Verdana" w:hAnsi="Verdana"/>
          <w:sz w:val="22"/>
          <w:szCs w:val="22"/>
          <w:lang w:val="fr-BE"/>
        </w:rPr>
        <w:t>, alors qu’elle concerne des milliers de (candidats)</w:t>
      </w:r>
      <w:r w:rsidRPr="00143562">
        <w:rPr>
          <w:rStyle w:val="eop"/>
          <w:rFonts w:ascii="Verdana" w:hAnsi="Verdana"/>
          <w:sz w:val="22"/>
          <w:szCs w:val="22"/>
          <w:lang w:val="fr-BE"/>
        </w:rPr>
        <w:t> </w:t>
      </w:r>
      <w:r w:rsidR="00143562" w:rsidRPr="00143562">
        <w:rPr>
          <w:rStyle w:val="eop"/>
          <w:rFonts w:ascii="Verdana" w:hAnsi="Verdana"/>
          <w:sz w:val="22"/>
          <w:szCs w:val="22"/>
          <w:lang w:val="fr-BE"/>
        </w:rPr>
        <w:t>travailleurs</w:t>
      </w:r>
      <w:r w:rsidRPr="00143562">
        <w:rPr>
          <w:rStyle w:val="eop"/>
          <w:rFonts w:ascii="Verdana" w:hAnsi="Verdana"/>
          <w:sz w:val="22"/>
          <w:szCs w:val="22"/>
          <w:lang w:val="fr-BE"/>
        </w:rPr>
        <w:t xml:space="preserve">! </w:t>
      </w:r>
    </w:p>
    <w:p w14:paraId="14655271" w14:textId="11E00F01" w:rsidR="004106B9" w:rsidRPr="00B43F6D" w:rsidRDefault="005C5FFC" w:rsidP="005C5FFC">
      <w:pPr>
        <w:rPr>
          <w:rFonts w:ascii="Verdana" w:eastAsia="Verdana" w:hAnsi="Verdana" w:cs="Verdana"/>
          <w:sz w:val="22"/>
          <w:szCs w:val="22"/>
          <w:lang w:val="fr-BE"/>
        </w:rPr>
      </w:pPr>
      <w:r>
        <w:rPr>
          <w:rFonts w:ascii="Verdana" w:eastAsia="Verdana" w:hAnsi="Verdana" w:cs="Verdana"/>
          <w:sz w:val="22"/>
          <w:szCs w:val="22"/>
          <w:lang w:val="fr-BE"/>
        </w:rPr>
        <w:t xml:space="preserve">D’autres 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réformes 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urgentes</w:t>
      </w:r>
      <w:r>
        <w:rPr>
          <w:rFonts w:ascii="Verdana" w:eastAsia="Verdana" w:hAnsi="Verdana" w:cs="Verdana"/>
          <w:sz w:val="22"/>
          <w:szCs w:val="22"/>
          <w:lang w:val="fr-BE"/>
        </w:rPr>
        <w:t xml:space="preserve">, 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qui auraient permis de redresser des situations d’exclusion et de non-droits</w:t>
      </w:r>
      <w:r w:rsidR="00B43F6D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mais aussi d’atteindre l’objectif de remise à l’emploi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 xml:space="preserve"> pour un certain nombre de personnes en situation de handicap</w:t>
      </w:r>
      <w:r>
        <w:rPr>
          <w:rFonts w:ascii="Verdana" w:eastAsia="Verdana" w:hAnsi="Verdana" w:cs="Verdana"/>
          <w:sz w:val="22"/>
          <w:szCs w:val="22"/>
          <w:lang w:val="fr-BE"/>
        </w:rPr>
        <w:t xml:space="preserve">, auraient dû être prises 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: notamment</w:t>
      </w:r>
      <w:r w:rsidR="00B43F6D" w:rsidRPr="00B43F6D">
        <w:rPr>
          <w:rFonts w:ascii="Verdana" w:eastAsia="Verdana" w:hAnsi="Verdana" w:cs="Verdana"/>
          <w:sz w:val="22"/>
          <w:szCs w:val="22"/>
          <w:lang w:val="fr-BE"/>
        </w:rPr>
        <w:t xml:space="preserve">, </w:t>
      </w:r>
    </w:p>
    <w:p w14:paraId="5058C5F3" w14:textId="12D57420" w:rsidR="004106B9" w:rsidRPr="00B43F6D" w:rsidRDefault="004106B9" w:rsidP="005C5FFC">
      <w:pPr>
        <w:ind w:left="720"/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- </w:t>
      </w:r>
      <w:r w:rsidR="00B43F6D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l</w:t>
      </w:r>
      <w:r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a réforme de la loi sur les allocations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(qui pour l’instant d’ailleurs ne favorise pas du tout la remise à l’emploi) </w:t>
      </w:r>
    </w:p>
    <w:p w14:paraId="3E03032A" w14:textId="30B71AB3" w:rsidR="004106B9" w:rsidRPr="00B43F6D" w:rsidRDefault="004106B9" w:rsidP="005C5FFC">
      <w:pPr>
        <w:ind w:left="720"/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- </w:t>
      </w:r>
      <w:r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des services publics et un réseau de transports plus accessibles</w:t>
      </w:r>
    </w:p>
    <w:p w14:paraId="1FDF145E" w14:textId="77777777" w:rsidR="003D1CCD" w:rsidRDefault="004106B9" w:rsidP="005C5FFC">
      <w:pPr>
        <w:ind w:left="720"/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- </w:t>
      </w:r>
      <w:r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un </w:t>
      </w:r>
      <w:r w:rsidR="20539FDD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réel </w:t>
      </w:r>
      <w:r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statut de droits pour les aidants proches</w:t>
      </w:r>
      <w:r w:rsidR="3FB938C5" w:rsidRPr="00B43F6D">
        <w:rPr>
          <w:rFonts w:ascii="Verdana" w:eastAsia="Verdana" w:hAnsi="Verdana" w:cs="Verdana"/>
          <w:sz w:val="22"/>
          <w:szCs w:val="22"/>
          <w:lang w:val="fr-BE"/>
        </w:rPr>
        <w:t xml:space="preserve">.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B43F6D" w:rsidRPr="00B43F6D">
        <w:rPr>
          <w:rFonts w:ascii="Verdana" w:eastAsia="Verdana" w:hAnsi="Verdana" w:cs="Verdana"/>
          <w:sz w:val="22"/>
          <w:szCs w:val="22"/>
          <w:lang w:val="fr-BE"/>
        </w:rPr>
        <w:t>C</w:t>
      </w:r>
      <w:r w:rsidR="0F331603" w:rsidRPr="00B43F6D">
        <w:rPr>
          <w:rFonts w:ascii="Verdana" w:eastAsia="Verdana" w:hAnsi="Verdana" w:cs="Verdana"/>
          <w:sz w:val="22"/>
          <w:szCs w:val="22"/>
          <w:lang w:val="fr-BE"/>
        </w:rPr>
        <w:t xml:space="preserve">es aidants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versent souvent  dans une précarité</w:t>
      </w:r>
      <w:r w:rsidR="5BA7CD9E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B43F6D" w:rsidRPr="00B43F6D">
        <w:rPr>
          <w:rFonts w:ascii="Verdana" w:eastAsia="Verdana" w:hAnsi="Verdana" w:cs="Verdana"/>
          <w:sz w:val="22"/>
          <w:szCs w:val="22"/>
          <w:lang w:val="fr-BE"/>
        </w:rPr>
        <w:t>parce qu’ils se substituent à des services collectifs insuffisants et inadéquats</w:t>
      </w:r>
      <w:r w:rsidR="003D1CCD">
        <w:rPr>
          <w:rFonts w:ascii="Verdana" w:eastAsia="Verdana" w:hAnsi="Verdana" w:cs="Verdana"/>
          <w:sz w:val="22"/>
          <w:szCs w:val="22"/>
          <w:lang w:val="fr-BE"/>
        </w:rPr>
        <w:t>.</w:t>
      </w:r>
    </w:p>
    <w:p w14:paraId="683C135E" w14:textId="77777777" w:rsidR="00BA0A85" w:rsidRDefault="00B43F6D" w:rsidP="1B03FFE1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2322FF6B" w14:textId="559C4CD3" w:rsidR="004106B9" w:rsidRPr="00B43F6D" w:rsidRDefault="004106B9" w:rsidP="1B03FFE1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A aucun moment de la négociation</w:t>
      </w:r>
      <w:r w:rsidR="1C09944C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de l’accord d’été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, aucun parti, aucun ministre,</w:t>
      </w:r>
      <w:r w:rsidR="003D1CC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n’a questionné le CSNPH sur les défis concernant les </w:t>
      </w:r>
      <w:r w:rsidR="5EEED90F" w:rsidRPr="00B43F6D">
        <w:rPr>
          <w:rFonts w:ascii="Verdana" w:eastAsia="Verdana" w:hAnsi="Verdana" w:cs="Verdana"/>
          <w:sz w:val="22"/>
          <w:szCs w:val="22"/>
          <w:lang w:val="fr-BE"/>
        </w:rPr>
        <w:t>personnes en situation de handicap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et leur famille</w:t>
      </w:r>
      <w:r w:rsidR="323F3EFE" w:rsidRPr="00B43F6D">
        <w:rPr>
          <w:rFonts w:ascii="Verdana" w:eastAsia="Verdana" w:hAnsi="Verdana" w:cs="Verdana"/>
          <w:sz w:val="22"/>
          <w:szCs w:val="22"/>
          <w:lang w:val="fr-BE"/>
        </w:rPr>
        <w:t>.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B95FF7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156A4E15" w14:textId="7B7F2914" w:rsidR="004106B9" w:rsidRPr="00B43F6D" w:rsidRDefault="004106B9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Cette situation de dénigrement, d’oubli généralisé des personnes en situation de handicap et de leur famille devient </w:t>
      </w:r>
      <w:r w:rsidR="00397765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insupportable et insultant</w:t>
      </w:r>
      <w:r w:rsidR="00397765" w:rsidRPr="00B43F6D">
        <w:rPr>
          <w:rFonts w:ascii="Verdana" w:eastAsia="Verdana" w:hAnsi="Verdana" w:cs="Verdana"/>
          <w:sz w:val="22"/>
          <w:szCs w:val="22"/>
          <w:lang w:val="fr-BE"/>
        </w:rPr>
        <w:t xml:space="preserve"> ! </w:t>
      </w:r>
    </w:p>
    <w:p w14:paraId="3FF36DE1" w14:textId="2D65815A" w:rsidR="004106B9" w:rsidRPr="00B43F6D" w:rsidRDefault="003D1CCD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>
        <w:rPr>
          <w:rFonts w:ascii="Verdana" w:eastAsia="Verdana" w:hAnsi="Verdana" w:cs="Verdana"/>
          <w:sz w:val="22"/>
          <w:szCs w:val="22"/>
          <w:lang w:val="fr-BE"/>
        </w:rPr>
        <w:t>Le CSNPH rappelle une nouvelle fois</w:t>
      </w:r>
      <w:r w:rsidR="0080498E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que l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es ministres doivent</w:t>
      </w:r>
      <w:r w:rsidR="00967599" w:rsidRPr="00B43F6D">
        <w:rPr>
          <w:rFonts w:ascii="Verdana" w:eastAsia="Verdana" w:hAnsi="Verdana" w:cs="Verdana"/>
          <w:sz w:val="22"/>
          <w:szCs w:val="22"/>
          <w:lang w:val="fr-BE"/>
        </w:rPr>
        <w:t>,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chacun dans leurs domaines de compétences</w:t>
      </w:r>
      <w:r w:rsidR="00967599" w:rsidRPr="00B43F6D">
        <w:rPr>
          <w:rFonts w:ascii="Verdana" w:eastAsia="Verdana" w:hAnsi="Verdana" w:cs="Verdana"/>
          <w:sz w:val="22"/>
          <w:szCs w:val="22"/>
          <w:lang w:val="fr-BE"/>
        </w:rPr>
        <w:t>,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associer le CSNPH</w:t>
      </w:r>
      <w:r w:rsidR="00B43F6D">
        <w:rPr>
          <w:rFonts w:ascii="Verdana" w:eastAsia="Verdana" w:hAnsi="Verdana" w:cs="Verdana"/>
          <w:sz w:val="22"/>
          <w:szCs w:val="22"/>
          <w:lang w:val="fr-BE"/>
        </w:rPr>
        <w:t xml:space="preserve"> à la réflexion politique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. </w:t>
      </w:r>
      <w:r w:rsidR="00E35418" w:rsidRPr="00B43F6D">
        <w:rPr>
          <w:rFonts w:ascii="Verdana" w:eastAsia="Verdana" w:hAnsi="Verdana" w:cs="Verdana"/>
          <w:sz w:val="22"/>
          <w:szCs w:val="22"/>
          <w:lang w:val="fr-BE"/>
        </w:rPr>
        <w:t>C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et</w:t>
      </w:r>
      <w:r w:rsidR="4B8A6167" w:rsidRPr="00B43F6D">
        <w:rPr>
          <w:rFonts w:ascii="Verdana" w:eastAsia="Verdana" w:hAnsi="Verdana" w:cs="Verdana"/>
          <w:sz w:val="22"/>
          <w:szCs w:val="22"/>
          <w:lang w:val="fr-BE"/>
        </w:rPr>
        <w:t>te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obligation est inconditionnelle et relève de </w:t>
      </w:r>
      <w:r w:rsidR="004106B9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textes juridiques contraignants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4106B9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pris au plus haut niveau de notre cadre institutionnel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 :</w:t>
      </w:r>
    </w:p>
    <w:p w14:paraId="78CB21F5" w14:textId="6107DD84" w:rsidR="004106B9" w:rsidRPr="00B43F6D" w:rsidRDefault="00BA0A85" w:rsidP="004106B9">
      <w:pPr>
        <w:pStyle w:val="Paragraphedeliste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  <w:lang w:val="fr-BE"/>
        </w:rPr>
      </w:pPr>
      <w:hyperlink r:id="rId8" w:history="1">
        <w:r w:rsidR="004106B9" w:rsidRPr="00BA0A85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 xml:space="preserve">Convention </w:t>
        </w:r>
        <w:r w:rsidRPr="00BA0A85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sur le</w:t>
        </w:r>
        <w:r w:rsidR="004106B9" w:rsidRPr="00BA0A85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 xml:space="preserve">s droits des personnes handicapées </w:t>
        </w:r>
        <w:r w:rsidRPr="00BA0A85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entrée en vigueur en Belgique le 01.08.2009</w:t>
        </w:r>
      </w:hyperlink>
    </w:p>
    <w:p w14:paraId="23E2B050" w14:textId="1EEF465C" w:rsidR="004106B9" w:rsidRPr="00B43F6D" w:rsidRDefault="00BA0A85" w:rsidP="004106B9">
      <w:pPr>
        <w:pStyle w:val="Paragraphedeliste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  <w:lang w:val="fr-BE"/>
        </w:rPr>
      </w:pPr>
      <w:hyperlink r:id="rId9" w:history="1">
        <w:r w:rsidR="004106B9" w:rsidRPr="00BA0A85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Article 22 ter de la Constitution</w:t>
        </w:r>
      </w:hyperlink>
    </w:p>
    <w:p w14:paraId="4A92ADBA" w14:textId="747AE2E2" w:rsidR="004106B9" w:rsidRPr="00B43F6D" w:rsidRDefault="00BA0A85" w:rsidP="004106B9">
      <w:pPr>
        <w:pStyle w:val="Paragraphedeliste"/>
        <w:numPr>
          <w:ilvl w:val="0"/>
          <w:numId w:val="2"/>
        </w:numPr>
        <w:rPr>
          <w:rFonts w:ascii="Verdana" w:eastAsia="Verdana" w:hAnsi="Verdana" w:cs="Verdana"/>
          <w:sz w:val="22"/>
          <w:szCs w:val="22"/>
          <w:lang w:val="fr-BE"/>
        </w:rPr>
      </w:pPr>
      <w:hyperlink r:id="rId10" w:history="1">
        <w:r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Loi du 7 mai 2024 visant à renforcer la politique fédérale en matière de handicap</w:t>
        </w:r>
      </w:hyperlink>
    </w:p>
    <w:p w14:paraId="6CD947FB" w14:textId="70DCC88F" w:rsidR="004106B9" w:rsidRPr="00B43F6D" w:rsidRDefault="00B43F6D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D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’autres textes juridiques de l’arsenal belge consacrent la nécessité de mener des </w:t>
      </w:r>
      <w:r w:rsidR="004106B9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politiques non-discriminatoires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mais aussi inclusives à l’égard des personnes en situation de handicap et de leurs proches </w:t>
      </w:r>
      <w:r w:rsidR="1CC24A34" w:rsidRPr="00B43F6D">
        <w:rPr>
          <w:rFonts w:ascii="Verdana" w:eastAsia="Verdana" w:hAnsi="Verdana" w:cs="Verdana"/>
          <w:sz w:val="22"/>
          <w:szCs w:val="22"/>
          <w:lang w:val="fr-BE"/>
        </w:rPr>
        <w:t>.</w:t>
      </w:r>
      <w:r w:rsidR="6FA368E3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C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es textes OBLIGENT les décideurs politiques à prévoir des </w:t>
      </w:r>
      <w:r w:rsidR="00397765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>aménagements</w:t>
      </w:r>
      <w:r w:rsidR="004106B9" w:rsidRPr="00B43F6D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 ou des actions positives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pour permettre aux personnes en situation de handicap d’exercer leurs droits au même titre que les citoyens dits « valides » :</w:t>
      </w:r>
    </w:p>
    <w:p w14:paraId="66AB520E" w14:textId="573BCE17" w:rsidR="004106B9" w:rsidRPr="00B43F6D" w:rsidRDefault="00CF6F1F" w:rsidP="004106B9">
      <w:pPr>
        <w:pStyle w:val="Paragraphedeliste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  <w:lang w:val="fr-BE"/>
        </w:rPr>
      </w:pPr>
      <w:hyperlink r:id="rId11" w:history="1">
        <w:r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Loi non-discrimination du 10 mai 2007</w:t>
        </w:r>
      </w:hyperlink>
    </w:p>
    <w:p w14:paraId="5577D640" w14:textId="046E7B42" w:rsidR="004106B9" w:rsidRDefault="00CF6F1F" w:rsidP="004106B9">
      <w:pPr>
        <w:pStyle w:val="Paragraphedeliste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  <w:lang w:val="fr-BE"/>
        </w:rPr>
      </w:pPr>
      <w:hyperlink r:id="rId12" w:history="1">
        <w:r w:rsidR="004106B9" w:rsidRPr="00CF6F1F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Protocole sur les aménagements raisonnables</w:t>
        </w:r>
      </w:hyperlink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1D3F8183" w14:textId="45CB5F5C" w:rsidR="00CF6F1F" w:rsidRPr="00B43F6D" w:rsidRDefault="00CF6F1F" w:rsidP="004106B9">
      <w:pPr>
        <w:pStyle w:val="Paragraphedeliste"/>
        <w:numPr>
          <w:ilvl w:val="0"/>
          <w:numId w:val="3"/>
        </w:numPr>
        <w:rPr>
          <w:rFonts w:ascii="Verdana" w:eastAsia="Verdana" w:hAnsi="Verdana" w:cs="Verdana"/>
          <w:sz w:val="22"/>
          <w:szCs w:val="22"/>
          <w:lang w:val="fr-BE"/>
        </w:rPr>
      </w:pPr>
      <w:r>
        <w:rPr>
          <w:rFonts w:ascii="Verdana" w:eastAsia="Verdana" w:hAnsi="Verdana" w:cs="Verdana"/>
          <w:sz w:val="22"/>
          <w:szCs w:val="22"/>
          <w:lang w:val="fr-BE"/>
        </w:rPr>
        <w:t>C</w:t>
      </w:r>
      <w:r>
        <w:rPr>
          <w:rFonts w:ascii="Verdana" w:eastAsia="Verdana" w:hAnsi="Verdana" w:cs="Verdana"/>
          <w:sz w:val="22"/>
          <w:szCs w:val="22"/>
          <w:lang w:val="fr-BE"/>
        </w:rPr>
        <w:t>oncept d’</w:t>
      </w:r>
      <w:hyperlink r:id="rId13" w:history="1">
        <w:r w:rsidRPr="00CF6F1F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>aménagement</w:t>
        </w:r>
        <w:r w:rsidRPr="00CF6F1F">
          <w:rPr>
            <w:rStyle w:val="Lienhypertexte"/>
            <w:rFonts w:ascii="Verdana" w:eastAsia="Verdana" w:hAnsi="Verdana" w:cs="Verdana"/>
            <w:sz w:val="22"/>
            <w:szCs w:val="22"/>
            <w:lang w:val="fr-BE"/>
          </w:rPr>
          <w:t xml:space="preserve"> raisonnable par association</w:t>
        </w:r>
      </w:hyperlink>
      <w:r>
        <w:rPr>
          <w:rFonts w:ascii="Verdana" w:eastAsia="Verdana" w:hAnsi="Verdana" w:cs="Verdana"/>
          <w:sz w:val="22"/>
          <w:szCs w:val="22"/>
          <w:lang w:val="fr-BE"/>
        </w:rPr>
        <w:t xml:space="preserve"> , confirmée par une jurisprudence unanime et aussi d’application par rapport aux aidants proches </w:t>
      </w:r>
    </w:p>
    <w:p w14:paraId="3B35F8D7" w14:textId="79F162FB" w:rsidR="004106B9" w:rsidRPr="00B43F6D" w:rsidRDefault="004106B9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lastRenderedPageBreak/>
        <w:t xml:space="preserve">Le CSNPH rappelle </w:t>
      </w:r>
      <w:hyperlink r:id="rId14" w:history="1">
        <w:r w:rsidRPr="00CF6F1F">
          <w:rPr>
            <w:rStyle w:val="Lienhypertexte"/>
            <w:rFonts w:ascii="Verdana" w:eastAsia="Verdana" w:hAnsi="Verdana" w:cs="Verdana"/>
            <w:b/>
            <w:bCs/>
            <w:sz w:val="22"/>
            <w:szCs w:val="22"/>
            <w:lang w:val="fr-BE"/>
          </w:rPr>
          <w:t>les conclusion</w:t>
        </w:r>
        <w:r w:rsidR="4B1B319C" w:rsidRPr="00CF6F1F">
          <w:rPr>
            <w:rStyle w:val="Lienhypertexte"/>
            <w:rFonts w:ascii="Verdana" w:eastAsia="Verdana" w:hAnsi="Verdana" w:cs="Verdana"/>
            <w:b/>
            <w:bCs/>
            <w:sz w:val="22"/>
            <w:szCs w:val="22"/>
            <w:lang w:val="fr-BE"/>
          </w:rPr>
          <w:t>s</w:t>
        </w:r>
        <w:r w:rsidRPr="00CF6F1F">
          <w:rPr>
            <w:rStyle w:val="Lienhypertexte"/>
            <w:rFonts w:ascii="Verdana" w:eastAsia="Verdana" w:hAnsi="Verdana" w:cs="Verdana"/>
            <w:b/>
            <w:bCs/>
            <w:sz w:val="22"/>
            <w:szCs w:val="22"/>
            <w:lang w:val="fr-BE"/>
          </w:rPr>
          <w:t xml:space="preserve"> des experts de l’ONU</w:t>
        </w:r>
      </w:hyperlink>
      <w:r w:rsidR="00CF6F1F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 (2024)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par rapport à la situation de vie des personnes en situation de handicap en Belgique :  la Belgique </w:t>
      </w:r>
      <w:r w:rsidR="66D23913" w:rsidRPr="00B43F6D">
        <w:rPr>
          <w:rFonts w:ascii="Verdana" w:eastAsia="Verdana" w:hAnsi="Verdana" w:cs="Verdana"/>
          <w:sz w:val="22"/>
          <w:szCs w:val="22"/>
          <w:lang w:val="fr-BE"/>
        </w:rPr>
        <w:t xml:space="preserve">doit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développe</w:t>
      </w:r>
      <w:r w:rsidR="0A623791" w:rsidRPr="00B43F6D">
        <w:rPr>
          <w:rFonts w:ascii="Verdana" w:eastAsia="Verdana" w:hAnsi="Verdana" w:cs="Verdana"/>
          <w:sz w:val="22"/>
          <w:szCs w:val="22"/>
          <w:lang w:val="fr-BE"/>
        </w:rPr>
        <w:t>r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7AC27DB5" w:rsidRPr="00B43F6D">
        <w:rPr>
          <w:rFonts w:ascii="Verdana" w:eastAsia="Verdana" w:hAnsi="Verdana" w:cs="Verdana"/>
          <w:sz w:val="22"/>
          <w:szCs w:val="22"/>
          <w:lang w:val="fr-BE"/>
        </w:rPr>
        <w:t xml:space="preserve">une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réelle politique d’inclusion au niveau de la formation, de l’emploi, de transports, etc. </w:t>
      </w:r>
      <w:r w:rsidR="6EE79F06" w:rsidRPr="00B43F6D">
        <w:rPr>
          <w:rFonts w:ascii="Verdana" w:eastAsia="Verdana" w:hAnsi="Verdana" w:cs="Verdana"/>
          <w:sz w:val="22"/>
          <w:szCs w:val="22"/>
          <w:lang w:val="fr-BE"/>
        </w:rPr>
        <w:t>E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t </w:t>
      </w:r>
      <w:r w:rsidR="006B462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la construction politique 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implique la participation structurelle des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 conseils d’avis 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handicap.</w:t>
      </w:r>
    </w:p>
    <w:p w14:paraId="3D53D814" w14:textId="4387AC5C" w:rsidR="00397765" w:rsidRPr="00B43F6D" w:rsidRDefault="00397765" w:rsidP="00397765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En ratifiant l’UNCRPD et en adoptant l’article 22 ter de la Constitution, les Parlementaires </w:t>
      </w:r>
      <w:r w:rsidR="376AA48D" w:rsidRPr="00B43F6D">
        <w:rPr>
          <w:rFonts w:ascii="Verdana" w:eastAsia="Verdana" w:hAnsi="Verdana" w:cs="Verdana"/>
          <w:sz w:val="22"/>
          <w:szCs w:val="22"/>
          <w:lang w:val="fr-BE"/>
        </w:rPr>
        <w:t xml:space="preserve">belges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 xml:space="preserve">ont pris 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>l’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engagement solennel</w:t>
      </w:r>
      <w:r w:rsidR="006B4629">
        <w:rPr>
          <w:rFonts w:ascii="Verdana" w:eastAsia="Verdana" w:hAnsi="Verdana" w:cs="Verdana"/>
          <w:sz w:val="22"/>
          <w:szCs w:val="22"/>
          <w:lang w:val="fr-BE"/>
        </w:rPr>
        <w:t xml:space="preserve"> en faveur d’une meilleure inclusion</w:t>
      </w:r>
      <w:r w:rsidR="00D90174" w:rsidRPr="00B43F6D">
        <w:rPr>
          <w:rFonts w:ascii="Verdana" w:eastAsia="Verdana" w:hAnsi="Verdana" w:cs="Verdana"/>
          <w:sz w:val="22"/>
          <w:szCs w:val="22"/>
          <w:lang w:val="fr-BE"/>
        </w:rPr>
        <w:t>. En prêtant serment, chaque ministre s’est engagé à respecter les lois du peuple belge</w:t>
      </w:r>
      <w:r w:rsidR="1784CAE5" w:rsidRPr="00B43F6D">
        <w:rPr>
          <w:rFonts w:ascii="Verdana" w:eastAsia="Verdana" w:hAnsi="Verdana" w:cs="Verdana"/>
          <w:sz w:val="22"/>
          <w:szCs w:val="22"/>
          <w:lang w:val="fr-BE"/>
        </w:rPr>
        <w:t>.</w:t>
      </w:r>
    </w:p>
    <w:p w14:paraId="0754A8B0" w14:textId="1EC9C949" w:rsidR="004106B9" w:rsidRDefault="00397765" w:rsidP="004106B9">
      <w:pPr>
        <w:rPr>
          <w:rFonts w:ascii="Verdana" w:eastAsia="Verdana" w:hAnsi="Verdana" w:cs="Verdana"/>
          <w:sz w:val="22"/>
          <w:szCs w:val="22"/>
          <w:lang w:val="fr-BE"/>
        </w:rPr>
      </w:pPr>
      <w:r w:rsidRPr="00B43F6D">
        <w:rPr>
          <w:rFonts w:ascii="Verdana" w:eastAsia="Verdana" w:hAnsi="Verdana" w:cs="Verdana"/>
          <w:sz w:val="22"/>
          <w:szCs w:val="22"/>
          <w:lang w:val="fr-BE"/>
        </w:rPr>
        <w:t>L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e socle juridique est important et il existe dans notre pays démocratique : fort heureusement</w:t>
      </w:r>
      <w:r w:rsidR="38A028CC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! Mais si ce socle n’est pas contraignant ou insuffisamment</w:t>
      </w:r>
      <w:r w:rsidR="001029A5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ou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trop superficiellement investi au travers d’une politique intégrant une </w:t>
      </w:r>
      <w:r w:rsidR="004106B9" w:rsidRPr="006B4629">
        <w:rPr>
          <w:rFonts w:ascii="Verdana" w:eastAsia="Verdana" w:hAnsi="Verdana" w:cs="Verdana"/>
          <w:b/>
          <w:bCs/>
          <w:sz w:val="22"/>
          <w:szCs w:val="22"/>
          <w:lang w:val="fr-BE"/>
        </w:rPr>
        <w:t>planification, des moyens concrets et des résultats évaluables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>, alors les textes ne so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n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t que des </w:t>
      </w:r>
      <w:r w:rsidRPr="00B43F6D">
        <w:rPr>
          <w:rFonts w:ascii="Verdana" w:eastAsia="Verdana" w:hAnsi="Verdana" w:cs="Verdana"/>
          <w:sz w:val="22"/>
          <w:szCs w:val="22"/>
          <w:lang w:val="fr-BE"/>
        </w:rPr>
        <w:t>mirages.</w:t>
      </w:r>
      <w:r w:rsidR="004106B9" w:rsidRPr="00B43F6D">
        <w:rPr>
          <w:rFonts w:ascii="Verdana" w:eastAsia="Verdana" w:hAnsi="Verdana" w:cs="Verdana"/>
          <w:sz w:val="22"/>
          <w:szCs w:val="22"/>
          <w:lang w:val="fr-BE"/>
        </w:rPr>
        <w:t xml:space="preserve"> </w:t>
      </w:r>
    </w:p>
    <w:p w14:paraId="129CF4FE" w14:textId="77777777" w:rsidR="00EC1D89" w:rsidRPr="00B43F6D" w:rsidRDefault="00EC1D89" w:rsidP="004106B9">
      <w:pPr>
        <w:rPr>
          <w:rFonts w:ascii="Verdana" w:eastAsia="Verdana" w:hAnsi="Verdana" w:cs="Verdana"/>
          <w:sz w:val="22"/>
          <w:szCs w:val="22"/>
          <w:lang w:val="fr-BE"/>
        </w:rPr>
      </w:pPr>
    </w:p>
    <w:tbl>
      <w:tblPr>
        <w:tblW w:w="9810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10"/>
      </w:tblGrid>
      <w:tr w:rsidR="00EC1D89" w14:paraId="01ED3A95" w14:textId="77777777" w:rsidTr="00EC1D89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9810" w:type="dxa"/>
          </w:tcPr>
          <w:p w14:paraId="1030DF50" w14:textId="77777777" w:rsidR="00EC1D89" w:rsidRDefault="00EC1D89" w:rsidP="00EC1D89">
            <w:pPr>
              <w:rPr>
                <w:rFonts w:ascii="Verdana" w:eastAsia="Verdana" w:hAnsi="Verdana" w:cs="Verdana"/>
                <w:sz w:val="22"/>
                <w:szCs w:val="22"/>
                <w:lang w:val="fr-BE"/>
              </w:rPr>
            </w:pPr>
          </w:p>
          <w:p w14:paraId="19BF5230" w14:textId="2A6F7038" w:rsidR="00EC1D89" w:rsidRDefault="00EC1D89" w:rsidP="00EC1D89">
            <w:pPr>
              <w:rPr>
                <w:rFonts w:ascii="Verdana" w:eastAsia="Verdana" w:hAnsi="Verdana" w:cs="Verdana"/>
                <w:sz w:val="22"/>
                <w:szCs w:val="22"/>
                <w:lang w:val="fr-BE"/>
              </w:rPr>
            </w:pPr>
            <w:r w:rsidRPr="00B43F6D">
              <w:rPr>
                <w:rFonts w:ascii="Verdana" w:eastAsia="Verdana" w:hAnsi="Verdana" w:cs="Verdana"/>
                <w:sz w:val="22"/>
                <w:szCs w:val="22"/>
                <w:lang w:val="fr-BE"/>
              </w:rPr>
              <w:t xml:space="preserve">Le CSNPH estime qu’il est grand temps que le gouvernement fédéral mesure l’urgence des attentes des personnes en situation de handicap. </w:t>
            </w:r>
          </w:p>
          <w:p w14:paraId="5BC0CC22" w14:textId="77777777" w:rsidR="00EC1D89" w:rsidRDefault="00EC1D89" w:rsidP="00EC1D89">
            <w:pPr>
              <w:rPr>
                <w:rFonts w:ascii="Verdana" w:eastAsia="Verdana" w:hAnsi="Verdana" w:cs="Verdana"/>
                <w:sz w:val="22"/>
                <w:szCs w:val="22"/>
                <w:lang w:val="fr-BE"/>
              </w:rPr>
            </w:pPr>
            <w:r w:rsidRPr="00B43F6D">
              <w:rPr>
                <w:rFonts w:ascii="Verdana" w:eastAsia="Verdana" w:hAnsi="Verdana" w:cs="Verdana"/>
                <w:sz w:val="22"/>
                <w:szCs w:val="22"/>
                <w:lang w:val="fr-BE"/>
              </w:rPr>
              <w:t>Le CSNPH attend du gouvernement que</w:t>
            </w:r>
          </w:p>
          <w:p w14:paraId="4A90277B" w14:textId="29C61D43" w:rsidR="00EC1D89" w:rsidRDefault="00EC1D89" w:rsidP="00EC1D89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>L</w:t>
            </w:r>
            <w:r w:rsidRPr="006B4629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’ensemble des textes déjà pris ou à venir </w:t>
            </w:r>
          </w:p>
          <w:p w14:paraId="0E64263F" w14:textId="069AA448" w:rsidR="00EC1D89" w:rsidRDefault="00EC1D89" w:rsidP="00EC1D89">
            <w:pP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</w:pP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>I</w:t>
            </w:r>
            <w:r w:rsidRPr="006B4629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ntègrent des mesures concrètes pour assurer aux personnes en situation de handicap </w:t>
            </w:r>
          </w:p>
          <w:p w14:paraId="331BF5F6" w14:textId="77777777" w:rsidR="00EC1D89" w:rsidRPr="00EC1D89" w:rsidRDefault="00EC1D89" w:rsidP="00EC1D89">
            <w:pPr>
              <w:pStyle w:val="Paragraphedeliste"/>
              <w:numPr>
                <w:ilvl w:val="0"/>
                <w:numId w:val="5"/>
              </w:numP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</w:pPr>
            <w:r w:rsidRPr="00EC1D89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 des ressources décentes en toutes circonstances et quel que soit le handicap, </w:t>
            </w:r>
          </w:p>
          <w:p w14:paraId="52B7A540" w14:textId="77777777" w:rsidR="00EC1D89" w:rsidRPr="00CF6F1F" w:rsidRDefault="00EC1D89" w:rsidP="00EC1D89">
            <w:pPr>
              <w:pStyle w:val="Paragraphedeliste"/>
              <w:numPr>
                <w:ilvl w:val="0"/>
                <w:numId w:val="5"/>
              </w:numP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</w:pPr>
            <w:r w:rsidRPr="00CF6F1F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un environnement de travail </w:t>
            </w: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>adéquat</w:t>
            </w:r>
            <w:r w:rsidRPr="00CF6F1F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 pour ceux qui sont en mesure de travailler</w:t>
            </w:r>
            <w:r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>, en ce compris,</w:t>
            </w:r>
            <w:r w:rsidRPr="00CF6F1F">
              <w:rPr>
                <w:rFonts w:ascii="Verdana" w:eastAsia="Verdana" w:hAnsi="Verdana" w:cs="Verdana"/>
                <w:b/>
                <w:bCs/>
                <w:sz w:val="22"/>
                <w:szCs w:val="22"/>
                <w:lang w:val="fr-BE"/>
              </w:rPr>
              <w:t xml:space="preserve"> un accès aux services de base (transports, soins, digitalisation, etc.)...</w:t>
            </w:r>
          </w:p>
          <w:p w14:paraId="0EC3A067" w14:textId="77777777" w:rsidR="00EC1D89" w:rsidRDefault="00EC1D89" w:rsidP="004106B9">
            <w:pPr>
              <w:rPr>
                <w:rFonts w:ascii="Verdana" w:eastAsia="Verdana" w:hAnsi="Verdana" w:cs="Verdana"/>
                <w:sz w:val="22"/>
                <w:szCs w:val="22"/>
                <w:lang w:val="fr-BE"/>
              </w:rPr>
            </w:pPr>
          </w:p>
        </w:tc>
      </w:tr>
    </w:tbl>
    <w:p w14:paraId="254A2A92" w14:textId="77777777" w:rsidR="00EC1D89" w:rsidRDefault="00EC1D89" w:rsidP="004106B9">
      <w:pPr>
        <w:rPr>
          <w:rFonts w:ascii="Verdana" w:eastAsia="Verdana" w:hAnsi="Verdana" w:cs="Verdana"/>
          <w:b/>
          <w:bCs/>
          <w:sz w:val="22"/>
          <w:szCs w:val="22"/>
          <w:lang w:val="fr-BE"/>
        </w:rPr>
      </w:pPr>
    </w:p>
    <w:p w14:paraId="044C079D" w14:textId="759D0EB5" w:rsidR="00793052" w:rsidRPr="006B4629" w:rsidRDefault="00CF6F1F" w:rsidP="004106B9">
      <w:pPr>
        <w:rPr>
          <w:rFonts w:ascii="Verdana" w:eastAsia="Verdana" w:hAnsi="Verdana" w:cs="Verdana"/>
          <w:b/>
          <w:bCs/>
          <w:sz w:val="22"/>
          <w:szCs w:val="22"/>
          <w:lang w:val="fr-BE"/>
        </w:rPr>
      </w:pPr>
      <w:r>
        <w:rPr>
          <w:rFonts w:ascii="Verdana" w:eastAsia="Verdana" w:hAnsi="Verdana" w:cs="Verdana"/>
          <w:b/>
          <w:bCs/>
          <w:sz w:val="22"/>
          <w:szCs w:val="22"/>
          <w:lang w:val="fr-BE"/>
        </w:rPr>
        <w:t>Le CSNPH v</w:t>
      </w:r>
      <w:r w:rsidR="00793052">
        <w:rPr>
          <w:rFonts w:ascii="Verdana" w:eastAsia="Verdana" w:hAnsi="Verdana" w:cs="Verdana"/>
          <w:b/>
          <w:bCs/>
          <w:sz w:val="22"/>
          <w:szCs w:val="22"/>
          <w:lang w:val="fr-BE"/>
        </w:rPr>
        <w:t>a-t-il recevoir une réponse </w:t>
      </w:r>
      <w:r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rapide </w:t>
      </w:r>
      <w:r w:rsidR="00793052">
        <w:rPr>
          <w:rFonts w:ascii="Verdana" w:eastAsia="Verdana" w:hAnsi="Verdana" w:cs="Verdana"/>
          <w:b/>
          <w:bCs/>
          <w:sz w:val="22"/>
          <w:szCs w:val="22"/>
          <w:lang w:val="fr-BE"/>
        </w:rPr>
        <w:t xml:space="preserve">? </w:t>
      </w:r>
    </w:p>
    <w:p w14:paraId="6A383ADE" w14:textId="160E6FEE" w:rsidR="00B339EA" w:rsidRPr="00B43F6D" w:rsidRDefault="00B339EA" w:rsidP="004106B9">
      <w:pPr>
        <w:rPr>
          <w:rFonts w:ascii="Verdana" w:eastAsia="Verdana" w:hAnsi="Verdana" w:cs="Verdana"/>
          <w:sz w:val="22"/>
          <w:szCs w:val="22"/>
          <w:lang w:val="fr-BE"/>
        </w:rPr>
      </w:pPr>
    </w:p>
    <w:p w14:paraId="5CE2F739" w14:textId="77777777" w:rsidR="004106B9" w:rsidRPr="004E5154" w:rsidRDefault="004106B9" w:rsidP="004106B9">
      <w:pPr>
        <w:rPr>
          <w:rFonts w:ascii="Verdana" w:eastAsia="Verdana" w:hAnsi="Verdana" w:cs="Verdana"/>
          <w:b/>
          <w:bCs/>
          <w:sz w:val="22"/>
          <w:szCs w:val="22"/>
          <w:lang w:val="fr-BE"/>
        </w:rPr>
      </w:pPr>
    </w:p>
    <w:p w14:paraId="0A33380D" w14:textId="77777777" w:rsidR="004106B9" w:rsidRPr="004E5154" w:rsidRDefault="004106B9" w:rsidP="004106B9">
      <w:pPr>
        <w:rPr>
          <w:rFonts w:ascii="Verdana" w:eastAsia="Verdana" w:hAnsi="Verdana" w:cs="Verdana"/>
          <w:b/>
          <w:bCs/>
          <w:sz w:val="22"/>
          <w:szCs w:val="22"/>
          <w:lang w:val="fr-BE"/>
        </w:rPr>
      </w:pPr>
    </w:p>
    <w:p w14:paraId="14C7074E" w14:textId="77777777" w:rsidR="00DC466A" w:rsidRPr="004106B9" w:rsidRDefault="00DC466A">
      <w:pPr>
        <w:rPr>
          <w:lang w:val="fr-BE"/>
        </w:rPr>
      </w:pPr>
    </w:p>
    <w:sectPr w:rsidR="00DC466A" w:rsidRPr="004106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B7ED9"/>
    <w:multiLevelType w:val="hybridMultilevel"/>
    <w:tmpl w:val="77A8FAF2"/>
    <w:lvl w:ilvl="0" w:tplc="0A301A32">
      <w:start w:val="26"/>
      <w:numFmt w:val="bullet"/>
      <w:lvlText w:val="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C7012"/>
    <w:multiLevelType w:val="hybridMultilevel"/>
    <w:tmpl w:val="15060528"/>
    <w:lvl w:ilvl="0" w:tplc="EB76B2F0">
      <w:start w:val="2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2776B"/>
    <w:multiLevelType w:val="hybridMultilevel"/>
    <w:tmpl w:val="403CAACA"/>
    <w:lvl w:ilvl="0" w:tplc="87D22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166940"/>
    <w:multiLevelType w:val="hybridMultilevel"/>
    <w:tmpl w:val="A3EAE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35F0"/>
    <w:multiLevelType w:val="hybridMultilevel"/>
    <w:tmpl w:val="F634B988"/>
    <w:lvl w:ilvl="0" w:tplc="0A301A32">
      <w:start w:val="26"/>
      <w:numFmt w:val="bullet"/>
      <w:lvlText w:val="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669288">
    <w:abstractNumId w:val="1"/>
  </w:num>
  <w:num w:numId="2" w16cid:durableId="1123618286">
    <w:abstractNumId w:val="0"/>
  </w:num>
  <w:num w:numId="3" w16cid:durableId="1207449669">
    <w:abstractNumId w:val="4"/>
  </w:num>
  <w:num w:numId="4" w16cid:durableId="2117825145">
    <w:abstractNumId w:val="3"/>
  </w:num>
  <w:num w:numId="5" w16cid:durableId="1133987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B9"/>
    <w:rsid w:val="00086E32"/>
    <w:rsid w:val="001029A5"/>
    <w:rsid w:val="00143562"/>
    <w:rsid w:val="001759EC"/>
    <w:rsid w:val="001817C5"/>
    <w:rsid w:val="0018EC9B"/>
    <w:rsid w:val="001A0BAE"/>
    <w:rsid w:val="001A6E1E"/>
    <w:rsid w:val="001C6B58"/>
    <w:rsid w:val="002B4344"/>
    <w:rsid w:val="002D3477"/>
    <w:rsid w:val="00397765"/>
    <w:rsid w:val="003D1CCD"/>
    <w:rsid w:val="004106B9"/>
    <w:rsid w:val="004341F5"/>
    <w:rsid w:val="00460B0F"/>
    <w:rsid w:val="00465B84"/>
    <w:rsid w:val="005C5FFC"/>
    <w:rsid w:val="006B4629"/>
    <w:rsid w:val="007019FF"/>
    <w:rsid w:val="007221C7"/>
    <w:rsid w:val="00767554"/>
    <w:rsid w:val="00793052"/>
    <w:rsid w:val="007C5007"/>
    <w:rsid w:val="0080498E"/>
    <w:rsid w:val="0084A951"/>
    <w:rsid w:val="008E38F1"/>
    <w:rsid w:val="008E4C6E"/>
    <w:rsid w:val="00953A9A"/>
    <w:rsid w:val="00967599"/>
    <w:rsid w:val="009C59D1"/>
    <w:rsid w:val="00AB62D1"/>
    <w:rsid w:val="00B1370D"/>
    <w:rsid w:val="00B339EA"/>
    <w:rsid w:val="00B43F6D"/>
    <w:rsid w:val="00B95FF7"/>
    <w:rsid w:val="00BA0A85"/>
    <w:rsid w:val="00C07685"/>
    <w:rsid w:val="00CF6F1F"/>
    <w:rsid w:val="00D90174"/>
    <w:rsid w:val="00DC466A"/>
    <w:rsid w:val="00E35418"/>
    <w:rsid w:val="00E72362"/>
    <w:rsid w:val="00EC1D89"/>
    <w:rsid w:val="00EF6A2D"/>
    <w:rsid w:val="00F66DC8"/>
    <w:rsid w:val="00F740C0"/>
    <w:rsid w:val="00F84A6B"/>
    <w:rsid w:val="0115654F"/>
    <w:rsid w:val="0207BECA"/>
    <w:rsid w:val="041A8B95"/>
    <w:rsid w:val="05E9952E"/>
    <w:rsid w:val="07BEB9FE"/>
    <w:rsid w:val="08B0D7FF"/>
    <w:rsid w:val="08E01900"/>
    <w:rsid w:val="0A623791"/>
    <w:rsid w:val="0AB02BCA"/>
    <w:rsid w:val="0B4B7816"/>
    <w:rsid w:val="0C940991"/>
    <w:rsid w:val="0D8035CF"/>
    <w:rsid w:val="0E2D2CD9"/>
    <w:rsid w:val="0E6B872E"/>
    <w:rsid w:val="0F331603"/>
    <w:rsid w:val="10955D0E"/>
    <w:rsid w:val="11ABC421"/>
    <w:rsid w:val="11F1348D"/>
    <w:rsid w:val="121A1F1E"/>
    <w:rsid w:val="1360742C"/>
    <w:rsid w:val="1451364B"/>
    <w:rsid w:val="156349ED"/>
    <w:rsid w:val="1642B422"/>
    <w:rsid w:val="1784CAE5"/>
    <w:rsid w:val="17CA116E"/>
    <w:rsid w:val="1A113D4F"/>
    <w:rsid w:val="1A463D11"/>
    <w:rsid w:val="1B03FFE1"/>
    <w:rsid w:val="1BE86F7B"/>
    <w:rsid w:val="1C09944C"/>
    <w:rsid w:val="1C29A1E0"/>
    <w:rsid w:val="1CB443DA"/>
    <w:rsid w:val="1CC24A34"/>
    <w:rsid w:val="1CFC83C2"/>
    <w:rsid w:val="1D149D1F"/>
    <w:rsid w:val="1F0DD3AF"/>
    <w:rsid w:val="202BA2F5"/>
    <w:rsid w:val="20539FDD"/>
    <w:rsid w:val="209D392C"/>
    <w:rsid w:val="211CD6FD"/>
    <w:rsid w:val="23399DC2"/>
    <w:rsid w:val="23B2839B"/>
    <w:rsid w:val="25E3AA5A"/>
    <w:rsid w:val="2602478F"/>
    <w:rsid w:val="2655E24E"/>
    <w:rsid w:val="27CB9EF0"/>
    <w:rsid w:val="28366517"/>
    <w:rsid w:val="28745195"/>
    <w:rsid w:val="298A7158"/>
    <w:rsid w:val="29DE6868"/>
    <w:rsid w:val="2A94418A"/>
    <w:rsid w:val="2AD2124C"/>
    <w:rsid w:val="2B44AB9B"/>
    <w:rsid w:val="2B915D00"/>
    <w:rsid w:val="2BFA8214"/>
    <w:rsid w:val="2DF68BF5"/>
    <w:rsid w:val="2E2C2113"/>
    <w:rsid w:val="2E4D1B17"/>
    <w:rsid w:val="2E6337EC"/>
    <w:rsid w:val="2F15DD89"/>
    <w:rsid w:val="30B0AC95"/>
    <w:rsid w:val="312DE906"/>
    <w:rsid w:val="31E94613"/>
    <w:rsid w:val="323F3EFE"/>
    <w:rsid w:val="32665D57"/>
    <w:rsid w:val="328A89C5"/>
    <w:rsid w:val="32E34B5D"/>
    <w:rsid w:val="33F6AC5A"/>
    <w:rsid w:val="33F873CA"/>
    <w:rsid w:val="34D0D92B"/>
    <w:rsid w:val="36CBB504"/>
    <w:rsid w:val="376AA48D"/>
    <w:rsid w:val="3771A5E9"/>
    <w:rsid w:val="37A8BE42"/>
    <w:rsid w:val="3805F693"/>
    <w:rsid w:val="38A028CC"/>
    <w:rsid w:val="3B236918"/>
    <w:rsid w:val="3BF97A30"/>
    <w:rsid w:val="3CD1FBBD"/>
    <w:rsid w:val="3E98862D"/>
    <w:rsid w:val="3F36B921"/>
    <w:rsid w:val="3F98149E"/>
    <w:rsid w:val="3FB938C5"/>
    <w:rsid w:val="4054C584"/>
    <w:rsid w:val="4158BAE0"/>
    <w:rsid w:val="416D123F"/>
    <w:rsid w:val="41770B87"/>
    <w:rsid w:val="41A4E485"/>
    <w:rsid w:val="43E8491A"/>
    <w:rsid w:val="4565BFF0"/>
    <w:rsid w:val="47A6BD1F"/>
    <w:rsid w:val="49559D74"/>
    <w:rsid w:val="4A918C7F"/>
    <w:rsid w:val="4A92B7EB"/>
    <w:rsid w:val="4B1B319C"/>
    <w:rsid w:val="4B8A6167"/>
    <w:rsid w:val="4BAE74CE"/>
    <w:rsid w:val="4CBCB443"/>
    <w:rsid w:val="4CCB844A"/>
    <w:rsid w:val="4D2D99F5"/>
    <w:rsid w:val="4DED5D29"/>
    <w:rsid w:val="4E67A159"/>
    <w:rsid w:val="507D21FC"/>
    <w:rsid w:val="5138C5C6"/>
    <w:rsid w:val="5275923F"/>
    <w:rsid w:val="547045FD"/>
    <w:rsid w:val="5514D86A"/>
    <w:rsid w:val="5579A5D7"/>
    <w:rsid w:val="56732C7E"/>
    <w:rsid w:val="584AD666"/>
    <w:rsid w:val="5A6C60D6"/>
    <w:rsid w:val="5AC3A031"/>
    <w:rsid w:val="5B5E875C"/>
    <w:rsid w:val="5B68DF3E"/>
    <w:rsid w:val="5BA7CD9E"/>
    <w:rsid w:val="5C6ED226"/>
    <w:rsid w:val="5DB170BD"/>
    <w:rsid w:val="5DFA201B"/>
    <w:rsid w:val="5E3745C9"/>
    <w:rsid w:val="5EEED90F"/>
    <w:rsid w:val="6053ECD5"/>
    <w:rsid w:val="60C66CE1"/>
    <w:rsid w:val="619839F0"/>
    <w:rsid w:val="61C5B3A3"/>
    <w:rsid w:val="62AADDB8"/>
    <w:rsid w:val="62BA8A60"/>
    <w:rsid w:val="62C47269"/>
    <w:rsid w:val="62F12520"/>
    <w:rsid w:val="6368CBC6"/>
    <w:rsid w:val="63BCC94F"/>
    <w:rsid w:val="644C86E0"/>
    <w:rsid w:val="64A41CC8"/>
    <w:rsid w:val="65AAD470"/>
    <w:rsid w:val="6656F788"/>
    <w:rsid w:val="66D23913"/>
    <w:rsid w:val="674511EA"/>
    <w:rsid w:val="67C816A9"/>
    <w:rsid w:val="6A136E96"/>
    <w:rsid w:val="6AA5180D"/>
    <w:rsid w:val="6B1704BD"/>
    <w:rsid w:val="6C22C555"/>
    <w:rsid w:val="6C8AB6B8"/>
    <w:rsid w:val="6DC1CF29"/>
    <w:rsid w:val="6DED0F6A"/>
    <w:rsid w:val="6E1B6E04"/>
    <w:rsid w:val="6E514D9F"/>
    <w:rsid w:val="6EC6EF7C"/>
    <w:rsid w:val="6EE79F06"/>
    <w:rsid w:val="6FA368E3"/>
    <w:rsid w:val="70B6E2D7"/>
    <w:rsid w:val="70BC199F"/>
    <w:rsid w:val="7186BF33"/>
    <w:rsid w:val="72063367"/>
    <w:rsid w:val="72EDA59E"/>
    <w:rsid w:val="73D65F02"/>
    <w:rsid w:val="74B9CC8E"/>
    <w:rsid w:val="75769E5D"/>
    <w:rsid w:val="77AF2C51"/>
    <w:rsid w:val="78FEB610"/>
    <w:rsid w:val="790B5204"/>
    <w:rsid w:val="7A855EEC"/>
    <w:rsid w:val="7AC27DB5"/>
    <w:rsid w:val="7AD1B097"/>
    <w:rsid w:val="7AE9FE89"/>
    <w:rsid w:val="7BC69A64"/>
    <w:rsid w:val="7CF02214"/>
    <w:rsid w:val="7EFD0F7A"/>
    <w:rsid w:val="7F98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1D0A7"/>
  <w15:chartTrackingRefBased/>
  <w15:docId w15:val="{98A58A31-23D6-4E65-8D12-27CA2903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6B9"/>
  </w:style>
  <w:style w:type="paragraph" w:styleId="Titre1">
    <w:name w:val="heading 1"/>
    <w:basedOn w:val="Normal"/>
    <w:next w:val="Normal"/>
    <w:link w:val="Titre1Car"/>
    <w:uiPriority w:val="9"/>
    <w:qFormat/>
    <w:rsid w:val="00410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0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0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0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0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06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06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06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06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0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0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0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06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06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06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06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06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06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0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0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0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0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0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06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06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06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0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06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06B9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4106B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106B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106B9"/>
    <w:rPr>
      <w:sz w:val="20"/>
      <w:szCs w:val="20"/>
    </w:rPr>
  </w:style>
  <w:style w:type="paragraph" w:styleId="Rvision">
    <w:name w:val="Revision"/>
    <w:hidden/>
    <w:uiPriority w:val="99"/>
    <w:semiHidden/>
    <w:rsid w:val="00B1370D"/>
    <w:pPr>
      <w:spacing w:after="0" w:line="240" w:lineRule="auto"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62D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62D1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3D1CCD"/>
  </w:style>
  <w:style w:type="character" w:customStyle="1" w:styleId="eop">
    <w:name w:val="eop"/>
    <w:basedOn w:val="Policepardfaut"/>
    <w:rsid w:val="003D1CCD"/>
  </w:style>
  <w:style w:type="character" w:styleId="Lienhypertexte">
    <w:name w:val="Hyperlink"/>
    <w:basedOn w:val="Policepardfaut"/>
    <w:uiPriority w:val="99"/>
    <w:unhideWhenUsed/>
    <w:rsid w:val="00BA0A85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0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aamb.openjustice.be/fr/loi-du-13-mai-2009_n2009015083.html" TargetMode="External"/><Relationship Id="rId13" Type="http://schemas.openxmlformats.org/officeDocument/2006/relationships/hyperlink" Target="https://www.unia.be/fr/connaissances-recommandations/avis-amenagements-raisonnables-code-bruxelloi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tingo.be/wp-content/uploads/2020/10/moniteur-belge-extrait-protocole-amenagement-raisonnable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taamb.openjustice.be/fr/loi-du-10-mai-2007_n2007002099.htm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tradalex.com/fr/sl_src_publ_leg_be_moniteur/toc/leg_be_moniteur_fr_10062024_1/doc/mb202420285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a.be/fr/legislation-et-jurisprudence/article-22ter-de-la-constitution-droit-%C3%A0-la-pleine-inclusion-des-personnes-handicap%C3%A9es" TargetMode="External"/><Relationship Id="rId14" Type="http://schemas.openxmlformats.org/officeDocument/2006/relationships/hyperlink" Target="https://bdf.belgium.be/resource/static/files/international-conventions/UNCRPD/2024-09-30-observations-finales-du-comite-des-droits-des-personnes-handicapees-uncrpd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9FB1CBD8BC5448AD84D3D49B0A335" ma:contentTypeVersion="4" ma:contentTypeDescription="Crée un document." ma:contentTypeScope="" ma:versionID="f96f7575f5d52c653a5414c3f47b9329">
  <xsd:schema xmlns:xsd="http://www.w3.org/2001/XMLSchema" xmlns:xs="http://www.w3.org/2001/XMLSchema" xmlns:p="http://schemas.microsoft.com/office/2006/metadata/properties" xmlns:ns2="8efef712-aac5-4d62-a761-ff1ea6f80f25" targetNamespace="http://schemas.microsoft.com/office/2006/metadata/properties" ma:root="true" ma:fieldsID="e1b9a9a608b8ccbe51b1170ec9b61d77" ns2:_="">
    <xsd:import namespace="8efef712-aac5-4d62-a761-ff1ea6f80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ef712-aac5-4d62-a761-ff1ea6f80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70D98-92EA-4FEA-BA28-8D4547EED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1F1F7D-FBF8-41D8-8A30-A53B8A42DB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476BC-45EC-4B09-A3EC-3FD553107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ef712-aac5-4d62-a761-ff1ea6f80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Duchenne Véronique</dc:creator>
  <cp:keywords/>
  <dc:description/>
  <cp:lastModifiedBy>Duchenne Véronique</cp:lastModifiedBy>
  <cp:revision>3</cp:revision>
  <dcterms:created xsi:type="dcterms:W3CDTF">2025-10-01T08:20:00Z</dcterms:created>
  <dcterms:modified xsi:type="dcterms:W3CDTF">2025-10-01T09:41:00Z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0x01010064C9FB1CBD8BC5448AD84D3D49B0A335</vt:lpwstr>
  </property>
  <property fmtid="{D5CDD505-2E9C-101B-9397-08002B2CF9AE}" pid="3" name="docLang">
    <vt:lpwstr>fr</vt:lpwstr>
  </property>
</Properties>
</file>