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345C" w14:textId="77777777" w:rsidR="00D15BAC" w:rsidRDefault="00D15BAC" w:rsidP="00D15BAC">
      <w:pP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From: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Duchenne Véronique 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Monday 22 September 2025 16:40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To: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emilie.desmet &lt;Emilie.Desmet@mc.be&gt;; gisele.marliere &lt;gisele.marliere@solidaris.be&gt;; maarten.ruymen &lt;maarten.ruymen@ditovzw.be&gt;; sophie.willekens &lt;sophie.willekens@kvg.be&gt;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Cc: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Berlanger Marjorie &lt;marjorie.berlanger@minsoc.fed.be&gt;; Dossin Muriel &lt;Muriel.Dossin@minsoc.fed.be&gt;; Havaert Anne &lt;anne.havaert@minsoc.fed.be&gt;; Laureys Benjamin &lt;benjamin.laureys@minsoc.fed.be&gt;; Magritte Olivier &lt;olivier.magritte@minsoc.fed.be&gt;; Parent Eva &lt;Eva.Parent@minsoc.fed.be&gt;; Van De Perre Frederik &lt;Frederik.VanDePerre@minsoc.fed.be&gt;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Subject: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suivi réunions avec DGHAN 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nl-NL"/>
          <w14:ligatures w14:val="none"/>
        </w:rPr>
        <w:t>Importance:</w:t>
      </w:r>
      <w:r>
        <w:rPr>
          <w:rFonts w:ascii="Calibri" w:eastAsia="Times New Roman" w:hAnsi="Calibri" w:cs="Calibri"/>
          <w:sz w:val="22"/>
          <w:szCs w:val="22"/>
          <w:lang w:val="nl-NL"/>
          <w14:ligatures w14:val="none"/>
        </w:rPr>
        <w:t xml:space="preserve"> High</w:t>
      </w:r>
    </w:p>
    <w:p w14:paraId="76E1A814" w14:textId="77777777" w:rsidR="00D15BAC" w:rsidRDefault="00D15BAC" w:rsidP="00D15BAC"/>
    <w:p w14:paraId="49F9EE71" w14:textId="77777777" w:rsidR="00D15BAC" w:rsidRDefault="00D15BAC" w:rsidP="00D15BAC">
      <w:pPr>
        <w:rPr>
          <w:lang w:val="fr-BE"/>
        </w:rPr>
      </w:pPr>
      <w:r>
        <w:rPr>
          <w:lang w:val="fr-BE"/>
        </w:rPr>
        <w:t xml:space="preserve">Bonjour, </w:t>
      </w:r>
    </w:p>
    <w:p w14:paraId="143D438A" w14:textId="77777777" w:rsidR="00D15BAC" w:rsidRDefault="00D15BAC" w:rsidP="00D15BAC">
      <w:pPr>
        <w:rPr>
          <w:lang w:val="fr-BE"/>
        </w:rPr>
      </w:pPr>
    </w:p>
    <w:p w14:paraId="0D54BA7C" w14:textId="77777777" w:rsidR="00D15BAC" w:rsidRDefault="00D15BAC" w:rsidP="00D15BAC">
      <w:pPr>
        <w:rPr>
          <w:lang w:val="fr-BE"/>
        </w:rPr>
      </w:pPr>
      <w:r>
        <w:rPr>
          <w:lang w:val="fr-BE"/>
        </w:rPr>
        <w:t xml:space="preserve">Le 16 septembre et ce 22 septembre , 2 réunions avec la DGHAN . En voici le feed-back sommaire </w:t>
      </w:r>
    </w:p>
    <w:p w14:paraId="0682E71D" w14:textId="77777777" w:rsidR="00D15BAC" w:rsidRDefault="00D15BAC" w:rsidP="00D15BAC">
      <w:pPr>
        <w:rPr>
          <w:lang w:val="fr-BE"/>
        </w:rPr>
      </w:pPr>
    </w:p>
    <w:p w14:paraId="66E9029F" w14:textId="77777777" w:rsidR="00D15BAC" w:rsidRDefault="00D15BAC" w:rsidP="00D15BAC">
      <w:pPr>
        <w:pStyle w:val="Lijstalinea"/>
        <w:numPr>
          <w:ilvl w:val="0"/>
          <w:numId w:val="1"/>
        </w:numPr>
        <w:contextualSpacing w:val="0"/>
        <w:rPr>
          <w:rFonts w:eastAsia="Times New Roman"/>
          <w:u w:val="single"/>
          <w:lang w:val="fr-BE"/>
        </w:rPr>
      </w:pPr>
      <w:r>
        <w:rPr>
          <w:rFonts w:eastAsia="Times New Roman"/>
          <w:u w:val="single"/>
          <w:lang w:val="fr-BE"/>
        </w:rPr>
        <w:t xml:space="preserve">16.09 -  fonctionnement du secrétariat ( Sophie Lejoly et Julie Clément) </w:t>
      </w:r>
    </w:p>
    <w:p w14:paraId="14168BB8" w14:textId="77777777" w:rsidR="00D15BAC" w:rsidRDefault="00D15BAC" w:rsidP="00D15BAC">
      <w:pPr>
        <w:ind w:left="720"/>
        <w:rPr>
          <w:lang w:val="fr-BE"/>
        </w:rPr>
      </w:pPr>
    </w:p>
    <w:p w14:paraId="3FFAD248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Réforme loi 87 = : La personne qui devait être recrutée pour le projet de réforme loi 87 n’entrera pas en service ; Jana Noyez ,  junior au  SPF,  prendra en charge jusqu’à la fin 2025 le dossier ; elle sera épaulée par Julie et Sophie ; ensuite, espère pouvoir trouver qqn via une réserve de recrutement le cas échéant  exploitable en dépit du moratoire sur les recrutements. Ont évoqué les chantiers de l’évaluation et du cumul 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VD : il faut consulter le CSNPH dès le début des travaux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une réunion avec les stakeholders se déroulera en 2026 – quatre demi journées </w:t>
      </w:r>
    </w:p>
    <w:p w14:paraId="1461F617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La question de la place d’Oljan : il aidera le CSNPH – lui demander </w:t>
      </w:r>
    </w:p>
    <w:p w14:paraId="0D2A9358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 Le soutien au secrétariat du CSNPH : pas de budget = pas de remplacement .  le CSNPH peut adressert toutes ses demandes à la DGHAN (comme durant l’été 2025)à - La DGHAN alimentera l’analyse des dossiers dans lesquels elle a une connaissance </w:t>
      </w:r>
    </w:p>
    <w:p w14:paraId="35635948" w14:textId="77777777" w:rsidR="00D15BAC" w:rsidRDefault="00D15BAC" w:rsidP="00D15BAC">
      <w:pPr>
        <w:rPr>
          <w:lang w:val="fr-BE"/>
        </w:rPr>
      </w:pPr>
    </w:p>
    <w:p w14:paraId="3F64EF7B" w14:textId="77777777" w:rsidR="00D15BAC" w:rsidRDefault="00D15BAC" w:rsidP="00D15BAC">
      <w:pPr>
        <w:rPr>
          <w:lang w:val="fr-BE"/>
        </w:rPr>
      </w:pPr>
      <w:r>
        <w:rPr>
          <w:lang w:val="fr-BE"/>
        </w:rPr>
        <w:t xml:space="preserve">La réunion a donc </w:t>
      </w:r>
      <w:r>
        <w:rPr>
          <w:highlight w:val="yellow"/>
          <w:lang w:val="fr-BE"/>
        </w:rPr>
        <w:t>été INUTILE et n’a rien apporté de tangible au secrétariat</w:t>
      </w:r>
      <w:r>
        <w:rPr>
          <w:lang w:val="fr-BE"/>
        </w:rPr>
        <w:t xml:space="preserve"> </w:t>
      </w:r>
    </w:p>
    <w:p w14:paraId="1E4410BC" w14:textId="77777777" w:rsidR="00D15BAC" w:rsidRDefault="00D15BAC" w:rsidP="00D15BAC">
      <w:pPr>
        <w:rPr>
          <w:lang w:val="fr-BE"/>
        </w:rPr>
      </w:pPr>
    </w:p>
    <w:p w14:paraId="3442C7FA" w14:textId="77777777" w:rsidR="00D15BAC" w:rsidRDefault="00D15BAC" w:rsidP="00D15BAC">
      <w:pPr>
        <w:rPr>
          <w:lang w:val="fr-BE"/>
        </w:rPr>
      </w:pPr>
    </w:p>
    <w:p w14:paraId="00FE86D5" w14:textId="77777777" w:rsidR="00D15BAC" w:rsidRDefault="00D15BAC" w:rsidP="00D15BAC">
      <w:pPr>
        <w:rPr>
          <w:lang w:val="fr-BE"/>
        </w:rPr>
      </w:pPr>
      <w:r>
        <w:rPr>
          <w:lang w:val="fr-BE"/>
        </w:rPr>
        <w:t xml:space="preserve">Soucis actuels  qui s’ajoutent            </w:t>
      </w:r>
    </w:p>
    <w:p w14:paraId="3F875805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nombreux avis en attente de publication ( blocage au niveau des relectures nécessaires  chez VDE) </w:t>
      </w:r>
    </w:p>
    <w:p w14:paraId="46488BF6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interpeller les différents ministres : 4 rencontres planifiées + CNT</w:t>
      </w:r>
    </w:p>
    <w:p w14:paraId="682E40FE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assurer travaux PF ( sollicitations croissantes) , BDF (redynamisation en cours = augmentation travail 2026)</w:t>
      </w:r>
    </w:p>
    <w:p w14:paraId="51804E4D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Fin 2025-début 2026 : nouveaux sites  </w:t>
      </w:r>
    </w:p>
    <w:p w14:paraId="4248CDBE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Implication des membres en baisse constante  </w:t>
      </w:r>
    </w:p>
    <w:p w14:paraId="7E09CFD5" w14:textId="77777777" w:rsidR="00D15BAC" w:rsidRDefault="00D15BAC" w:rsidP="00D15BAC">
      <w:pPr>
        <w:pStyle w:val="Lijstalinea"/>
        <w:numPr>
          <w:ilvl w:val="1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Avis laissés sans suite : ras le bol des membres qui s’investissent </w:t>
      </w:r>
    </w:p>
    <w:p w14:paraId="5977081A" w14:textId="77777777" w:rsidR="00D15BAC" w:rsidRDefault="00D15BAC" w:rsidP="00D15BAC">
      <w:pPr>
        <w:pStyle w:val="Lijstalinea"/>
        <w:ind w:left="1080"/>
        <w:rPr>
          <w:lang w:val="fr-BE"/>
        </w:rPr>
      </w:pPr>
    </w:p>
    <w:p w14:paraId="467EB2AC" w14:textId="77777777" w:rsidR="00D15BAC" w:rsidRDefault="00D15BAC" w:rsidP="00D15BAC">
      <w:pPr>
        <w:rPr>
          <w:lang w:val="fr-BE"/>
        </w:rPr>
      </w:pPr>
      <w:r>
        <w:rPr>
          <w:highlight w:val="yellow"/>
          <w:lang w:val="fr-BE"/>
        </w:rPr>
        <w:t>ACTIONS à réfléchir en Bureau d’octobre</w:t>
      </w:r>
      <w:r>
        <w:rPr>
          <w:lang w:val="fr-BE"/>
        </w:rPr>
        <w:t xml:space="preserve"> </w:t>
      </w:r>
    </w:p>
    <w:p w14:paraId="0599598A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Nouvel avis d’initiative sur le secrétariat </w:t>
      </w:r>
    </w:p>
    <w:p w14:paraId="670CA992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Rencontre Beenders demandée en octobre </w:t>
      </w:r>
    </w:p>
    <w:p w14:paraId="6BD226D8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lastRenderedPageBreak/>
        <w:t xml:space="preserve">En interne , nous continuons de simplifier au max le travail – sur quels autres axes travailler ? </w:t>
      </w:r>
    </w:p>
    <w:p w14:paraId="78292061" w14:textId="77777777" w:rsidR="00D15BAC" w:rsidRDefault="00D15BAC" w:rsidP="00D15BAC">
      <w:pPr>
        <w:pStyle w:val="Lijstalinea"/>
        <w:numPr>
          <w:ilvl w:val="0"/>
          <w:numId w:val="2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Autres actions ?  </w:t>
      </w:r>
    </w:p>
    <w:p w14:paraId="5CCC2970" w14:textId="77777777" w:rsidR="00D15BAC" w:rsidRDefault="00D15BAC" w:rsidP="00D15BAC">
      <w:pPr>
        <w:pStyle w:val="Lijstalinea"/>
        <w:rPr>
          <w:lang w:val="fr-BE"/>
        </w:rPr>
      </w:pPr>
    </w:p>
    <w:p w14:paraId="1F5EA5CD" w14:textId="77777777" w:rsidR="00D15BAC" w:rsidRDefault="00D15BAC" w:rsidP="00D15BAC">
      <w:pPr>
        <w:pStyle w:val="Lijstalinea"/>
        <w:rPr>
          <w:lang w:val="fr-BE"/>
        </w:rPr>
      </w:pPr>
    </w:p>
    <w:p w14:paraId="0D0B6378" w14:textId="77777777" w:rsidR="00D15BAC" w:rsidRDefault="00D15BAC" w:rsidP="00D15BAC">
      <w:pPr>
        <w:pStyle w:val="Lijstalinea"/>
        <w:numPr>
          <w:ilvl w:val="0"/>
          <w:numId w:val="1"/>
        </w:numPr>
        <w:contextualSpacing w:val="0"/>
        <w:rPr>
          <w:rFonts w:eastAsia="Times New Roman"/>
          <w:u w:val="single"/>
          <w:lang w:val="fr-BE"/>
        </w:rPr>
      </w:pPr>
      <w:r>
        <w:rPr>
          <w:rFonts w:eastAsia="Times New Roman"/>
          <w:u w:val="single"/>
          <w:lang w:val="fr-BE"/>
        </w:rPr>
        <w:t>22.09 - Réforme loi 87</w:t>
      </w:r>
    </w:p>
    <w:p w14:paraId="08F3BCB4" w14:textId="77777777" w:rsidR="00D15BAC" w:rsidRDefault="00D15BAC" w:rsidP="00D15BAC">
      <w:pPr>
        <w:pStyle w:val="Lijstalinea"/>
        <w:numPr>
          <w:ilvl w:val="1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La DGHAN voulait préparer la rencontre de la semaine prochaine avec le Cabinet Beenders : méthode de travail, rédaction et gouvernance </w:t>
      </w:r>
    </w:p>
    <w:p w14:paraId="099AEB28" w14:textId="77777777" w:rsidR="00D15BAC" w:rsidRDefault="00D15BAC" w:rsidP="00D15BAC">
      <w:pPr>
        <w:pStyle w:val="Lijstalinea"/>
        <w:numPr>
          <w:ilvl w:val="1"/>
          <w:numId w:val="1"/>
        </w:numPr>
        <w:contextualSpacing w:val="0"/>
        <w:rPr>
          <w:rFonts w:eastAsia="Times New Roman"/>
          <w:highlight w:val="yellow"/>
          <w:lang w:val="fr-BE"/>
        </w:rPr>
      </w:pPr>
      <w:r>
        <w:rPr>
          <w:rFonts w:eastAsia="Times New Roman"/>
          <w:lang w:val="fr-BE"/>
        </w:rPr>
        <w:t>VDE </w:t>
      </w:r>
      <w:r>
        <w:rPr>
          <w:rFonts w:eastAsia="Times New Roman"/>
          <w:highlight w:val="yellow"/>
          <w:lang w:val="fr-BE"/>
        </w:rPr>
        <w:t xml:space="preserve">: je ne suis pas le CSNPH , ne suis pas sur le terrain et ne connais pas toutes les préoccupations </w:t>
      </w:r>
      <w:r>
        <w:rPr>
          <w:rFonts w:ascii="Wingdings" w:eastAsia="Times New Roman" w:hAnsi="Wingdings"/>
          <w:highlight w:val="yellow"/>
          <w:lang w:val="fr-BE"/>
        </w:rPr>
        <w:t>è</w:t>
      </w:r>
    </w:p>
    <w:p w14:paraId="173C25FD" w14:textId="77777777" w:rsidR="00D15BAC" w:rsidRDefault="00D15BAC" w:rsidP="00D15BAC">
      <w:pPr>
        <w:pStyle w:val="Lijstalinea"/>
        <w:numPr>
          <w:ilvl w:val="2"/>
          <w:numId w:val="1"/>
        </w:numPr>
        <w:contextualSpacing w:val="0"/>
        <w:rPr>
          <w:highlight w:val="yellow"/>
          <w:lang w:val="fr-BE"/>
        </w:rPr>
      </w:pPr>
      <w:r>
        <w:rPr>
          <w:highlight w:val="yellow"/>
          <w:lang w:val="fr-BE"/>
        </w:rPr>
        <w:t xml:space="preserve"> il faut une préparation avec le CSNPH et experts dans les assoc </w:t>
      </w:r>
    </w:p>
    <w:p w14:paraId="798A272F" w14:textId="77777777" w:rsidR="00D15BAC" w:rsidRDefault="00D15BAC" w:rsidP="00D15BAC">
      <w:pPr>
        <w:pStyle w:val="Lijstalinea"/>
        <w:numPr>
          <w:ilvl w:val="2"/>
          <w:numId w:val="1"/>
        </w:numPr>
        <w:contextualSpacing w:val="0"/>
        <w:rPr>
          <w:lang w:val="fr-BE"/>
        </w:rPr>
      </w:pPr>
      <w:r>
        <w:rPr>
          <w:lang w:val="fr-BE"/>
        </w:rPr>
        <w:t xml:space="preserve">Il ne faut pas une demi-réforme </w:t>
      </w:r>
      <w:r>
        <w:rPr>
          <w:rFonts w:ascii="Wingdings" w:hAnsi="Wingdings"/>
          <w:lang w:val="fr-BE"/>
        </w:rPr>
        <w:t>è</w:t>
      </w:r>
      <w:r>
        <w:rPr>
          <w:lang w:val="fr-BE"/>
        </w:rPr>
        <w:t xml:space="preserve"> quel régime pour qui ?</w:t>
      </w:r>
    </w:p>
    <w:p w14:paraId="440E32D4" w14:textId="77777777" w:rsidR="00D15BAC" w:rsidRDefault="00D15BAC" w:rsidP="00D15BAC">
      <w:pPr>
        <w:pStyle w:val="Lijstalinea"/>
        <w:numPr>
          <w:ilvl w:val="2"/>
          <w:numId w:val="1"/>
        </w:numPr>
        <w:contextualSpacing w:val="0"/>
        <w:rPr>
          <w:lang w:val="fr-BE"/>
        </w:rPr>
      </w:pPr>
      <w:r>
        <w:rPr>
          <w:lang w:val="fr-BE"/>
        </w:rPr>
        <w:t xml:space="preserve">J’ai rappelé en vrac qques constats NON EXHAUSTIFS : </w:t>
      </w:r>
    </w:p>
    <w:p w14:paraId="6FC0D97C" w14:textId="77777777" w:rsidR="00D15BAC" w:rsidRDefault="00D15BAC" w:rsidP="00D15BAC">
      <w:pPr>
        <w:pStyle w:val="Lijstalinea"/>
        <w:numPr>
          <w:ilvl w:val="0"/>
          <w:numId w:val="3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tendance ininterrompue de personnes qui rentrent dans le système depuis toujours : effets entonnoirs des autres régimes et régimes fourre-tout avec RIS </w:t>
      </w:r>
    </w:p>
    <w:p w14:paraId="54646E85" w14:textId="77777777" w:rsidR="00D15BAC" w:rsidRDefault="00D15BAC" w:rsidP="00D15BAC">
      <w:pPr>
        <w:pStyle w:val="Lijstalinea"/>
        <w:numPr>
          <w:ilvl w:val="0"/>
          <w:numId w:val="3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cohérence du système : avant 21 ans, après 65 ans …</w:t>
      </w:r>
    </w:p>
    <w:p w14:paraId="2BF0C38D" w14:textId="77777777" w:rsidR="00D15BAC" w:rsidRDefault="00D15BAC" w:rsidP="00D15BAC">
      <w:pPr>
        <w:pStyle w:val="Lijstalinea"/>
        <w:numPr>
          <w:ilvl w:val="0"/>
          <w:numId w:val="3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loi 87 :  aucun accompagnement – « allocation à vie «  </w:t>
      </w:r>
    </w:p>
    <w:p w14:paraId="4E8ACCE4" w14:textId="77777777" w:rsidR="00D15BAC" w:rsidRDefault="00D15BAC" w:rsidP="00D15BAC">
      <w:pPr>
        <w:rPr>
          <w:lang w:val="fr-BE"/>
        </w:rPr>
      </w:pPr>
    </w:p>
    <w:p w14:paraId="3DE32A69" w14:textId="77777777" w:rsidR="00D15BAC" w:rsidRDefault="00D15BAC" w:rsidP="00D15BAC">
      <w:pPr>
        <w:pStyle w:val="Lijstalinea"/>
        <w:numPr>
          <w:ilvl w:val="0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PSH qui ne pourront pour ainsi dire jamais travailler </w:t>
      </w:r>
    </w:p>
    <w:p w14:paraId="4EDEC0FB" w14:textId="77777777" w:rsidR="00D15BAC" w:rsidRDefault="00D15BAC" w:rsidP="00D15BAC">
      <w:pPr>
        <w:pStyle w:val="Lijstalinea"/>
        <w:numPr>
          <w:ilvl w:val="0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PSH qui le pourront MAIS avec rechutes et carrières incomplètes : </w:t>
      </w:r>
    </w:p>
    <w:p w14:paraId="529E37EC" w14:textId="77777777" w:rsidR="00D15BAC" w:rsidRDefault="00D15BAC" w:rsidP="00D15BAC">
      <w:pPr>
        <w:pStyle w:val="Lijstalinea"/>
        <w:numPr>
          <w:ilvl w:val="1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Ne pas pénaliser ni pendant le parcours de formation/  travail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dossier éducation/ emploi </w:t>
      </w:r>
    </w:p>
    <w:p w14:paraId="1AD4314D" w14:textId="77777777" w:rsidR="00D15BAC" w:rsidRDefault="00D15BAC" w:rsidP="00D15BAC">
      <w:pPr>
        <w:pStyle w:val="Lijstalinea"/>
        <w:numPr>
          <w:ilvl w:val="1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Ne pas pénaliser au moment de la pension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dossier pension </w:t>
      </w:r>
    </w:p>
    <w:p w14:paraId="59742546" w14:textId="77777777" w:rsidR="00D15BAC" w:rsidRDefault="00D15BAC" w:rsidP="00D15BAC">
      <w:pPr>
        <w:pStyle w:val="Lijstalinea"/>
        <w:numPr>
          <w:ilvl w:val="1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Ne pas pénaliser les aidants proches et familles 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dossier emploi </w:t>
      </w:r>
    </w:p>
    <w:p w14:paraId="57C6C126" w14:textId="77777777" w:rsidR="00D15BAC" w:rsidRDefault="00D15BAC" w:rsidP="00D15BAC">
      <w:pPr>
        <w:pStyle w:val="Lijstalinea"/>
        <w:numPr>
          <w:ilvl w:val="1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Assurer vie digne dans et hors travail :</w:t>
      </w:r>
    </w:p>
    <w:p w14:paraId="7EECBD05" w14:textId="77777777" w:rsidR="00D15BAC" w:rsidRDefault="00D15BAC" w:rsidP="00D15BAC">
      <w:pPr>
        <w:pStyle w:val="Lijstalinea"/>
        <w:numPr>
          <w:ilvl w:val="2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surcoûts liés au Handicap !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dossier  handistreaming </w:t>
      </w:r>
    </w:p>
    <w:p w14:paraId="5B1C706F" w14:textId="77777777" w:rsidR="00D15BAC" w:rsidRDefault="00D15BAC" w:rsidP="00D15BAC">
      <w:pPr>
        <w:pStyle w:val="Lijstalinea"/>
        <w:numPr>
          <w:ilvl w:val="2"/>
          <w:numId w:val="4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ET à un environnement inaccessible </w:t>
      </w:r>
      <w:r>
        <w:rPr>
          <w:rFonts w:ascii="Wingdings" w:eastAsia="Times New Roman" w:hAnsi="Wingdings"/>
          <w:lang w:val="fr-BE"/>
        </w:rPr>
        <w:t>è</w:t>
      </w:r>
      <w:r>
        <w:rPr>
          <w:rFonts w:eastAsia="Times New Roman"/>
          <w:lang w:val="fr-BE"/>
        </w:rPr>
        <w:t xml:space="preserve"> dossier accessibilité (transports surtout) </w:t>
      </w:r>
    </w:p>
    <w:p w14:paraId="6D1249D5" w14:textId="77777777" w:rsidR="00D15BAC" w:rsidRDefault="00D15BAC" w:rsidP="00D15BAC">
      <w:pPr>
        <w:pStyle w:val="Lijstalinea"/>
        <w:rPr>
          <w:lang w:val="fr-BE"/>
        </w:rPr>
      </w:pPr>
    </w:p>
    <w:p w14:paraId="71A765B7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Définition et critères « médicaux » ARR et AI : confusion et incompréhension , aussi par rapport autres régimes – assimilation autres régimes : CIF, Belrai ….</w:t>
      </w:r>
    </w:p>
    <w:p w14:paraId="3DF608B4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Retour au travail  mais </w:t>
      </w:r>
    </w:p>
    <w:p w14:paraId="22B8B889" w14:textId="77777777" w:rsidR="00D15BAC" w:rsidRDefault="00D15BAC" w:rsidP="00D15BAC">
      <w:pPr>
        <w:pStyle w:val="Lijstalinea"/>
        <w:numPr>
          <w:ilvl w:val="1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Loi 87 : Année de référence, cumuls « pour encourager » y compris droits dérivés ( « sac ») , rechutes …</w:t>
      </w:r>
    </w:p>
    <w:p w14:paraId="238C1CC3" w14:textId="77777777" w:rsidR="00D15BAC" w:rsidRDefault="00D15BAC" w:rsidP="00D15BAC">
      <w:pPr>
        <w:pStyle w:val="Lijstalinea"/>
        <w:numPr>
          <w:ilvl w:val="1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Hors loi 87 IMPORTANTS </w:t>
      </w:r>
    </w:p>
    <w:p w14:paraId="51383922" w14:textId="77777777" w:rsidR="00D15BAC" w:rsidRDefault="00D15BAC" w:rsidP="00D15BAC">
      <w:pPr>
        <w:pStyle w:val="Lijstalinea"/>
        <w:numPr>
          <w:ilvl w:val="2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 contradiction entre  réglementations régionales et fédérales, </w:t>
      </w:r>
    </w:p>
    <w:p w14:paraId="74F4B473" w14:textId="77777777" w:rsidR="00D15BAC" w:rsidRDefault="00D15BAC" w:rsidP="00D15BAC">
      <w:pPr>
        <w:pStyle w:val="Lijstalinea"/>
        <w:numPr>
          <w:ilvl w:val="2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 intra fédérales ( INAMI, art 100) – questionne la place dans la sécu / protection sociale : cfr définition PSH UNCRPD </w:t>
      </w:r>
    </w:p>
    <w:p w14:paraId="6ABB9D94" w14:textId="77777777" w:rsidR="00D15BAC" w:rsidRDefault="00D15BAC" w:rsidP="00D15BAC">
      <w:pPr>
        <w:pStyle w:val="Lijstalinea"/>
        <w:numPr>
          <w:ilvl w:val="2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accompagnement sur le terrain (tirer enseignement des personnes engagées avec « « qch en plus » , Aussi Diversicom…), </w:t>
      </w:r>
    </w:p>
    <w:p w14:paraId="3A993612" w14:textId="77777777" w:rsidR="00D15BAC" w:rsidRDefault="00D15BAC" w:rsidP="00D15BAC">
      <w:pPr>
        <w:pStyle w:val="Lijstalinea"/>
        <w:numPr>
          <w:ilvl w:val="2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aménagements raisonnables : protocole à revoir, primes et aides actuels </w:t>
      </w:r>
    </w:p>
    <w:p w14:paraId="22BC1B52" w14:textId="77777777" w:rsidR="00D15BAC" w:rsidRDefault="00D15BAC" w:rsidP="00D15BAC">
      <w:pPr>
        <w:pStyle w:val="Lijstalinea"/>
        <w:numPr>
          <w:ilvl w:val="0"/>
          <w:numId w:val="6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GT à créer avec acteur Fed et régionaux – CIM ? – Accord de Gvt OK ! </w:t>
      </w:r>
    </w:p>
    <w:p w14:paraId="2570D6E8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Catégories familiales  </w:t>
      </w:r>
    </w:p>
    <w:p w14:paraId="74F14C02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Pauvreté et Hauteur des allocations ( Handilab 2012 – Etude Pauvreté Handicap)</w:t>
      </w:r>
    </w:p>
    <w:p w14:paraId="67FDDEBD" w14:textId="77777777" w:rsidR="00D15BAC" w:rsidRDefault="00D15BAC" w:rsidP="00D15BAC">
      <w:pPr>
        <w:pStyle w:val="Lijstalinea"/>
        <w:numPr>
          <w:ilvl w:val="1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lastRenderedPageBreak/>
        <w:t xml:space="preserve">Allocations ne peuvent pas tuer l’emploi </w:t>
      </w:r>
    </w:p>
    <w:p w14:paraId="1156D5CD" w14:textId="77777777" w:rsidR="00D15BAC" w:rsidRDefault="00D15BAC" w:rsidP="00D15BAC">
      <w:pPr>
        <w:pStyle w:val="Lijstalinea"/>
        <w:numPr>
          <w:ilvl w:val="1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Tension entre catégories</w:t>
      </w:r>
    </w:p>
    <w:p w14:paraId="4B54C47B" w14:textId="77777777" w:rsidR="00D15BAC" w:rsidRDefault="00D15BAC" w:rsidP="00D15BAC">
      <w:pPr>
        <w:pStyle w:val="Lijstalinea"/>
        <w:numPr>
          <w:ilvl w:val="1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Montant minimum AI -ARR ?  </w:t>
      </w:r>
    </w:p>
    <w:p w14:paraId="0E028691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Pauvreté et Non Take up </w:t>
      </w:r>
    </w:p>
    <w:p w14:paraId="11F12106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Lisibilité du régime, nécessité des demandes …</w:t>
      </w:r>
    </w:p>
    <w:p w14:paraId="6A8CAD6E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Révisions des droits , input des personnes …. </w:t>
      </w:r>
    </w:p>
    <w:p w14:paraId="31E65564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Avances, dettes et récupération ( CAS)</w:t>
      </w:r>
    </w:p>
    <w:p w14:paraId="6C669D8A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Signalements et Recours </w:t>
      </w:r>
    </w:p>
    <w:p w14:paraId="37B6AA86" w14:textId="77777777" w:rsidR="00D15BAC" w:rsidRDefault="00D15BAC" w:rsidP="00D15BAC">
      <w:pPr>
        <w:pStyle w:val="Lijstalinea"/>
        <w:numPr>
          <w:ilvl w:val="0"/>
          <w:numId w:val="5"/>
        </w:numPr>
        <w:rPr>
          <w:rFonts w:eastAsia="Times New Roman"/>
          <w:b/>
          <w:bCs/>
          <w:lang w:val="fr-BE"/>
        </w:rPr>
      </w:pPr>
      <w:r>
        <w:rPr>
          <w:rFonts w:eastAsia="Times New Roman"/>
          <w:lang w:val="fr-BE"/>
        </w:rPr>
        <w:t>L’enjeu de l’IA notamment pour l’évaluation médicale et  la gestion des dossiers sur</w:t>
      </w:r>
      <w:r>
        <w:rPr>
          <w:rFonts w:eastAsia="Times New Roman"/>
          <w:b/>
          <w:bCs/>
          <w:lang w:val="fr-BE"/>
        </w:rPr>
        <w:t xml:space="preserve"> pièces </w:t>
      </w:r>
    </w:p>
    <w:p w14:paraId="75B8A607" w14:textId="77777777" w:rsidR="00D15BAC" w:rsidRDefault="00D15BAC" w:rsidP="00D15BAC">
      <w:pPr>
        <w:rPr>
          <w:b/>
          <w:bCs/>
          <w:lang w:val="fr-BE"/>
        </w:rPr>
      </w:pPr>
    </w:p>
    <w:p w14:paraId="47C64218" w14:textId="77777777" w:rsidR="00D15BAC" w:rsidRDefault="00D15BAC" w:rsidP="00D15BAC">
      <w:pPr>
        <w:rPr>
          <w:b/>
          <w:bCs/>
          <w:lang w:val="fr-BE"/>
        </w:rPr>
      </w:pPr>
      <w:r>
        <w:rPr>
          <w:b/>
          <w:bCs/>
          <w:highlight w:val="yellow"/>
          <w:lang w:val="fr-BE"/>
        </w:rPr>
        <w:t>Pas d’invitation du Cabinet à ce stade vers le CSNPH – demande de rencontre adressée à Beenders pour le mois d’octobre . A suivre donc</w:t>
      </w:r>
      <w:r>
        <w:rPr>
          <w:b/>
          <w:bCs/>
          <w:lang w:val="fr-BE"/>
        </w:rPr>
        <w:t xml:space="preserve"> </w:t>
      </w:r>
    </w:p>
    <w:p w14:paraId="1BE26DC2" w14:textId="77777777" w:rsidR="00D15BAC" w:rsidRDefault="00D15BAC" w:rsidP="00D15BAC">
      <w:pPr>
        <w:rPr>
          <w:lang w:val="fr-BE"/>
        </w:rPr>
      </w:pPr>
    </w:p>
    <w:p w14:paraId="5899798D" w14:textId="77777777" w:rsidR="00D15BAC" w:rsidRDefault="00D15BAC" w:rsidP="00D15BAC">
      <w:pPr>
        <w:rPr>
          <w:lang w:val="fr-BE"/>
        </w:rPr>
      </w:pPr>
    </w:p>
    <w:p w14:paraId="12D8FA68" w14:textId="77777777" w:rsidR="00D15BAC" w:rsidRDefault="00D15BAC" w:rsidP="00D15BAC">
      <w:pPr>
        <w:rPr>
          <w:rFonts w:ascii="Calibri" w:hAnsi="Calibri" w:cs="Calibri"/>
          <w:sz w:val="22"/>
          <w:szCs w:val="22"/>
          <w:lang w:val="fr-BE"/>
          <w14:ligatures w14:val="none"/>
        </w:rPr>
      </w:pPr>
      <w:r>
        <w:rPr>
          <w:rFonts w:ascii="Calibri" w:hAnsi="Calibri" w:cs="Calibri"/>
          <w:lang w:val="fr-BE"/>
        </w:rPr>
        <w:t xml:space="preserve">Met vriendelijke groet, </w:t>
      </w:r>
    </w:p>
    <w:p w14:paraId="290B15A4" w14:textId="77777777" w:rsidR="00D15BAC" w:rsidRDefault="00D15BAC" w:rsidP="00D15BAC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Cordialement, </w:t>
      </w:r>
    </w:p>
    <w:p w14:paraId="2949EE59" w14:textId="77777777" w:rsidR="00D15BAC" w:rsidRDefault="00D15BAC" w:rsidP="00D15BAC">
      <w:pPr>
        <w:spacing w:after="240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7309"/>
      </w:tblGrid>
      <w:tr w:rsidR="00D15BAC" w:rsidRPr="00D15BAC" w14:paraId="1A64D6F8" w14:textId="77777777" w:rsidTr="00D15BAC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A7E6" w14:textId="7A701DB0" w:rsidR="00D15BAC" w:rsidRDefault="00D15BAC">
            <w:pPr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noProof/>
                <w14:ligatures w14:val="none"/>
              </w:rPr>
              <w:drawing>
                <wp:inline distT="0" distB="0" distL="0" distR="0" wp14:anchorId="04A940EB" wp14:editId="5EE978FA">
                  <wp:extent cx="2412365" cy="1503680"/>
                  <wp:effectExtent l="0" t="0" r="6985" b="1270"/>
                  <wp:docPr id="369315311" name="Afbeelding 1" descr="Afbeelding met Graphics, Lettertype, tekst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15311" name="Afbeelding 1" descr="Afbeelding met Graphics, Lettertype, tekst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D4AE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Conseil Supérieur National des Personnes Handicapées</w:t>
            </w:r>
          </w:p>
          <w:p w14:paraId="627E04E7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178F0F20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  <w:lang w:val="nl-BE"/>
              </w:rPr>
            </w:pPr>
            <w:r w:rsidRPr="00D15BAC"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lang w:val="nl-BE"/>
              </w:rPr>
              <w:t>Nationale Hoge Raad voor Personen met een Handicap</w:t>
            </w:r>
          </w:p>
          <w:p w14:paraId="6644061B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Finance Tower - Kruidtuinlaan 50, bus 150, 1000 Brussel</w:t>
            </w:r>
          </w:p>
          <w:p w14:paraId="5AAB1E96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</w:p>
          <w:p w14:paraId="71C14618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+32 (0)2 509 84 21</w:t>
            </w:r>
          </w:p>
          <w:p w14:paraId="1EAAEC40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hyperlink r:id="rId6" w:history="1">
              <w:r>
                <w:rPr>
                  <w:rStyle w:val="Hyperlink"/>
                  <w:rFonts w:ascii="Helvetica" w:hAnsi="Helvetica" w:cs="Helvetica"/>
                  <w:color w:val="0000FF"/>
                  <w:sz w:val="18"/>
                  <w:szCs w:val="18"/>
                  <w:shd w:val="clear" w:color="auto" w:fill="FFFFFF"/>
                  <w:lang w:val="nl-BE"/>
                </w:rPr>
                <w:t>info@ph.belgium.be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  <w:lang w:val="nl-BE"/>
              </w:rPr>
              <w:t> </w:t>
            </w:r>
          </w:p>
          <w:p w14:paraId="1E360B86" w14:textId="77777777" w:rsidR="00D15BAC" w:rsidRDefault="00D15BAC">
            <w:pPr>
              <w:autoSpaceDE w:val="0"/>
              <w:autoSpaceDN w:val="0"/>
              <w:rPr>
                <w:rFonts w:ascii="Calibri" w:hAnsi="Calibri" w:cs="Calibri"/>
                <w:i/>
                <w:iCs/>
                <w:color w:val="C10B22"/>
                <w:sz w:val="18"/>
                <w:szCs w:val="18"/>
                <w:lang w:val="nl-BE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color w:val="0000FF"/>
                  <w:sz w:val="18"/>
                  <w:szCs w:val="18"/>
                  <w:lang w:val="nl-BE"/>
                </w:rPr>
                <w:t>https://ph.belgium.be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Rien sur nous sans nous - Niets over ons zonder ons</w:t>
            </w:r>
          </w:p>
        </w:tc>
      </w:tr>
    </w:tbl>
    <w:p w14:paraId="29979FEB" w14:textId="77777777" w:rsidR="00D15BAC" w:rsidRDefault="00D15BAC" w:rsidP="00D15BAC">
      <w:pPr>
        <w:rPr>
          <w:lang w:val="nl-BE"/>
        </w:rPr>
      </w:pPr>
    </w:p>
    <w:bookmarkEnd w:id="0"/>
    <w:p w14:paraId="38DEBA36" w14:textId="77777777" w:rsidR="00D15BAC" w:rsidRDefault="00D15BAC" w:rsidP="00D15BAC">
      <w:pPr>
        <w:rPr>
          <w:lang w:val="nl-BE"/>
        </w:rPr>
      </w:pPr>
    </w:p>
    <w:p w14:paraId="551BF6D5" w14:textId="77777777" w:rsidR="00EA32F2" w:rsidRPr="00D15BAC" w:rsidRDefault="00EA32F2">
      <w:pPr>
        <w:rPr>
          <w:lang w:val="nl-BE"/>
        </w:rPr>
      </w:pPr>
    </w:p>
    <w:sectPr w:rsidR="00EA32F2" w:rsidRPr="00D15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377"/>
    <w:multiLevelType w:val="hybridMultilevel"/>
    <w:tmpl w:val="A9B404D4"/>
    <w:lvl w:ilvl="0" w:tplc="FA44C6FC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94E6A"/>
    <w:multiLevelType w:val="hybridMultilevel"/>
    <w:tmpl w:val="50BCA760"/>
    <w:lvl w:ilvl="0" w:tplc="969087BA">
      <w:numFmt w:val="bullet"/>
      <w:lvlText w:val=""/>
      <w:lvlJc w:val="left"/>
      <w:pPr>
        <w:ind w:left="1440" w:hanging="360"/>
      </w:pPr>
      <w:rPr>
        <w:rFonts w:ascii="Wingdings" w:eastAsia="Aptos" w:hAnsi="Wingdings" w:cs="Apto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03419"/>
    <w:multiLevelType w:val="hybridMultilevel"/>
    <w:tmpl w:val="A6F48918"/>
    <w:lvl w:ilvl="0" w:tplc="A30A2E2C">
      <w:numFmt w:val="bullet"/>
      <w:lvlText w:val=""/>
      <w:lvlJc w:val="left"/>
      <w:pPr>
        <w:ind w:left="2520" w:hanging="360"/>
      </w:pPr>
      <w:rPr>
        <w:rFonts w:ascii="Wingdings" w:eastAsia="Times New Roman" w:hAnsi="Wingdings" w:cs="Apto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CAF0213"/>
    <w:multiLevelType w:val="hybridMultilevel"/>
    <w:tmpl w:val="8618CE66"/>
    <w:lvl w:ilvl="0" w:tplc="0D4A0E5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4EDD"/>
    <w:multiLevelType w:val="hybridMultilevel"/>
    <w:tmpl w:val="48DE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6D99"/>
    <w:multiLevelType w:val="hybridMultilevel"/>
    <w:tmpl w:val="3620C2E8"/>
    <w:lvl w:ilvl="0" w:tplc="19D0C8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4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6871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03032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57370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967198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433820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AC"/>
    <w:rsid w:val="004175DB"/>
    <w:rsid w:val="008B5AB6"/>
    <w:rsid w:val="00922254"/>
    <w:rsid w:val="00D15BAC"/>
    <w:rsid w:val="00D57251"/>
    <w:rsid w:val="00E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2057"/>
  <w15:chartTrackingRefBased/>
  <w15:docId w15:val="{73C4149D-1907-4EF1-BBF6-3AD25C96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5BAC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D1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5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5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5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5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5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5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5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5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5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5B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5B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5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5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5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5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5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5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5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5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5B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5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5B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5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15B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.belgiu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h.belgium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Laureys Benjamin</dc:creator>
  <cp:keywords/>
  <dc:description/>
  <cp:lastModifiedBy>Laureys Benjamin</cp:lastModifiedBy>
  <cp:revision>1</cp:revision>
  <dcterms:created xsi:type="dcterms:W3CDTF">2025-10-02T08:47:00Z</dcterms:created>
  <dcterms:modified xsi:type="dcterms:W3CDTF">2025-10-02T08:48:00Z</dcterms:modified>
</cp:coreProperties>
</file>