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81" w:rightFromText="181" w:vertAnchor="page"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8924"/>
      </w:tblGrid>
      <w:tr w:rsidR="002C5C7C" w:rsidRPr="001811D6" w14:paraId="7C3FF2BC" w14:textId="77777777" w:rsidTr="00E07757">
        <w:trPr>
          <w:cantSplit/>
        </w:trPr>
        <w:tc>
          <w:tcPr>
            <w:tcW w:w="301" w:type="dxa"/>
            <w:shd w:val="clear" w:color="auto" w:fill="057A8B" w:themeFill="text2"/>
          </w:tcPr>
          <w:p w14:paraId="5645500C" w14:textId="77777777" w:rsidR="002C5C7C" w:rsidRPr="001811D6" w:rsidRDefault="002C5C7C" w:rsidP="00CD4D85">
            <w:pPr>
              <w:pStyle w:val="Titre"/>
              <w:spacing w:after="100"/>
              <w:rPr>
                <w:color w:val="057A8B" w:themeColor="text2"/>
              </w:rPr>
            </w:pPr>
          </w:p>
        </w:tc>
        <w:tc>
          <w:tcPr>
            <w:tcW w:w="8924" w:type="dxa"/>
            <w:tcMar>
              <w:left w:w="301" w:type="dxa"/>
            </w:tcMar>
          </w:tcPr>
          <w:p w14:paraId="3C1CC615" w14:textId="1C329FA7" w:rsidR="004662EC" w:rsidRPr="001811D6" w:rsidRDefault="00C16689" w:rsidP="00B3418F">
            <w:pPr>
              <w:pStyle w:val="Titre"/>
            </w:pPr>
            <w:r w:rsidRPr="001811D6">
              <w:t xml:space="preserve">Avis sur la proposition de réforme de l’AR du 6 octobre 2005 </w:t>
            </w:r>
          </w:p>
          <w:p w14:paraId="36E7F8C8" w14:textId="40130B07" w:rsidR="002C5C7C" w:rsidRPr="001811D6" w:rsidRDefault="00C16689" w:rsidP="004662EC">
            <w:pPr>
              <w:pStyle w:val="Sous-titre"/>
              <w:spacing w:after="100"/>
            </w:pPr>
            <w:r w:rsidRPr="001811D6">
              <w:t>Avis CIPH, réunion du 5 septembre 2025</w:t>
            </w:r>
          </w:p>
        </w:tc>
      </w:tr>
    </w:tbl>
    <w:p w14:paraId="3C500D95" w14:textId="77777777" w:rsidR="002C5C7C" w:rsidRPr="001811D6" w:rsidRDefault="002C5C7C" w:rsidP="00F63D50">
      <w:r w:rsidRPr="001811D6">
        <w:br w:type="page"/>
      </w:r>
    </w:p>
    <w:p w14:paraId="6625ED8F" w14:textId="77777777" w:rsidR="00DB214E" w:rsidRPr="001811D6" w:rsidRDefault="00DB214E" w:rsidP="00DB214E">
      <w:pPr>
        <w:pStyle w:val="Titre2"/>
      </w:pPr>
      <w:bookmarkStart w:id="0" w:name="_Toc80350939"/>
      <w:bookmarkStart w:id="1" w:name="_Toc80355251"/>
      <w:bookmarkStart w:id="2" w:name="_Toc83039205"/>
      <w:bookmarkStart w:id="3" w:name="_Toc188448631"/>
      <w:bookmarkStart w:id="4" w:name="_Toc188448684"/>
      <w:bookmarkStart w:id="5" w:name="_Toc206057203"/>
      <w:r w:rsidRPr="001811D6">
        <w:lastRenderedPageBreak/>
        <w:t>Table des matières</w:t>
      </w:r>
      <w:bookmarkEnd w:id="0"/>
      <w:bookmarkEnd w:id="1"/>
      <w:bookmarkEnd w:id="2"/>
      <w:bookmarkEnd w:id="3"/>
      <w:bookmarkEnd w:id="4"/>
      <w:bookmarkEnd w:id="5"/>
    </w:p>
    <w:p w14:paraId="09E7C42E" w14:textId="623C7D8A" w:rsidR="00C44201" w:rsidRDefault="006D1711">
      <w:pPr>
        <w:pStyle w:val="TM2"/>
        <w:rPr>
          <w:rFonts w:eastAsiaTheme="minorEastAsia" w:cstheme="minorBidi"/>
          <w:b w:val="0"/>
          <w:bCs w:val="0"/>
          <w:kern w:val="2"/>
          <w:sz w:val="24"/>
          <w:szCs w:val="24"/>
          <w:lang w:val="nl-BE" w:eastAsia="nl-BE"/>
          <w14:ligatures w14:val="standardContextual"/>
        </w:rPr>
      </w:pPr>
      <w:r w:rsidRPr="001811D6">
        <w:rPr>
          <w:rFonts w:asciiTheme="majorHAnsi" w:hAnsiTheme="majorHAnsi" w:cstheme="minorBidi"/>
          <w:caps/>
          <w:noProof w:val="0"/>
          <w:sz w:val="24"/>
        </w:rPr>
        <w:fldChar w:fldCharType="begin"/>
      </w:r>
      <w:r w:rsidRPr="001811D6">
        <w:rPr>
          <w:rFonts w:asciiTheme="majorHAnsi" w:hAnsiTheme="majorHAnsi"/>
          <w:caps/>
          <w:noProof w:val="0"/>
          <w:sz w:val="24"/>
        </w:rPr>
        <w:instrText xml:space="preserve"> TOC \o "1-3" \h \z \u </w:instrText>
      </w:r>
      <w:r w:rsidRPr="001811D6">
        <w:rPr>
          <w:rFonts w:asciiTheme="majorHAnsi" w:hAnsiTheme="majorHAnsi" w:cstheme="minorBidi"/>
          <w:caps/>
          <w:noProof w:val="0"/>
          <w:sz w:val="24"/>
        </w:rPr>
        <w:fldChar w:fldCharType="separate"/>
      </w:r>
      <w:hyperlink w:anchor="_Toc206057203" w:history="1">
        <w:r w:rsidR="00C44201" w:rsidRPr="00903B3A">
          <w:rPr>
            <w:rStyle w:val="Lienhypertexte"/>
          </w:rPr>
          <w:t>Table des matières</w:t>
        </w:r>
        <w:r w:rsidR="00C44201">
          <w:rPr>
            <w:webHidden/>
          </w:rPr>
          <w:tab/>
        </w:r>
        <w:r w:rsidR="00C44201">
          <w:rPr>
            <w:webHidden/>
          </w:rPr>
          <w:fldChar w:fldCharType="begin"/>
        </w:r>
        <w:r w:rsidR="00C44201">
          <w:rPr>
            <w:webHidden/>
          </w:rPr>
          <w:instrText xml:space="preserve"> PAGEREF _Toc206057203 \h </w:instrText>
        </w:r>
        <w:r w:rsidR="00C44201">
          <w:rPr>
            <w:webHidden/>
          </w:rPr>
        </w:r>
        <w:r w:rsidR="00C44201">
          <w:rPr>
            <w:webHidden/>
          </w:rPr>
          <w:fldChar w:fldCharType="separate"/>
        </w:r>
        <w:r w:rsidR="00C44201">
          <w:rPr>
            <w:webHidden/>
          </w:rPr>
          <w:t>2</w:t>
        </w:r>
        <w:r w:rsidR="00C44201">
          <w:rPr>
            <w:webHidden/>
          </w:rPr>
          <w:fldChar w:fldCharType="end"/>
        </w:r>
      </w:hyperlink>
    </w:p>
    <w:p w14:paraId="1B5DDBB3" w14:textId="7D878E3F" w:rsidR="00C44201" w:rsidRDefault="00C44201">
      <w:pPr>
        <w:pStyle w:val="TM1"/>
        <w:tabs>
          <w:tab w:val="right" w:pos="9628"/>
        </w:tabs>
        <w:rPr>
          <w:rFonts w:eastAsiaTheme="minorEastAsia" w:cstheme="minorBidi"/>
          <w:b w:val="0"/>
          <w:bCs w:val="0"/>
          <w:noProof/>
          <w:kern w:val="2"/>
          <w:sz w:val="24"/>
          <w:lang w:val="nl-BE" w:eastAsia="nl-BE"/>
          <w14:ligatures w14:val="standardContextual"/>
        </w:rPr>
      </w:pPr>
      <w:hyperlink w:anchor="_Toc206057204" w:history="1">
        <w:r w:rsidRPr="00903B3A">
          <w:rPr>
            <w:rStyle w:val="Lienhypertexte"/>
            <w:noProof/>
          </w:rPr>
          <w:t>Introduction</w:t>
        </w:r>
        <w:r>
          <w:rPr>
            <w:noProof/>
            <w:webHidden/>
          </w:rPr>
          <w:tab/>
        </w:r>
        <w:r>
          <w:rPr>
            <w:noProof/>
            <w:webHidden/>
          </w:rPr>
          <w:fldChar w:fldCharType="begin"/>
        </w:r>
        <w:r>
          <w:rPr>
            <w:noProof/>
            <w:webHidden/>
          </w:rPr>
          <w:instrText xml:space="preserve"> PAGEREF _Toc206057204 \h </w:instrText>
        </w:r>
        <w:r>
          <w:rPr>
            <w:noProof/>
            <w:webHidden/>
          </w:rPr>
        </w:r>
        <w:r>
          <w:rPr>
            <w:noProof/>
            <w:webHidden/>
          </w:rPr>
          <w:fldChar w:fldCharType="separate"/>
        </w:r>
        <w:r>
          <w:rPr>
            <w:noProof/>
            <w:webHidden/>
          </w:rPr>
          <w:t>3</w:t>
        </w:r>
        <w:r>
          <w:rPr>
            <w:noProof/>
            <w:webHidden/>
          </w:rPr>
          <w:fldChar w:fldCharType="end"/>
        </w:r>
      </w:hyperlink>
    </w:p>
    <w:p w14:paraId="7AC22456" w14:textId="5AE8DE9F" w:rsidR="00C44201" w:rsidRDefault="00C44201">
      <w:pPr>
        <w:pStyle w:val="TM1"/>
        <w:tabs>
          <w:tab w:val="right" w:pos="9628"/>
        </w:tabs>
        <w:rPr>
          <w:rFonts w:eastAsiaTheme="minorEastAsia" w:cstheme="minorBidi"/>
          <w:b w:val="0"/>
          <w:bCs w:val="0"/>
          <w:noProof/>
          <w:kern w:val="2"/>
          <w:sz w:val="24"/>
          <w:lang w:val="nl-BE" w:eastAsia="nl-BE"/>
          <w14:ligatures w14:val="standardContextual"/>
        </w:rPr>
      </w:pPr>
      <w:hyperlink w:anchor="_Toc206057205" w:history="1">
        <w:r w:rsidRPr="00903B3A">
          <w:rPr>
            <w:rStyle w:val="Lienhypertexte"/>
            <w:noProof/>
          </w:rPr>
          <w:t>Commentaire par article</w:t>
        </w:r>
        <w:r>
          <w:rPr>
            <w:noProof/>
            <w:webHidden/>
          </w:rPr>
          <w:tab/>
        </w:r>
        <w:r>
          <w:rPr>
            <w:noProof/>
            <w:webHidden/>
          </w:rPr>
          <w:fldChar w:fldCharType="begin"/>
        </w:r>
        <w:r>
          <w:rPr>
            <w:noProof/>
            <w:webHidden/>
          </w:rPr>
          <w:instrText xml:space="preserve"> PAGEREF _Toc206057205 \h </w:instrText>
        </w:r>
        <w:r>
          <w:rPr>
            <w:noProof/>
            <w:webHidden/>
          </w:rPr>
        </w:r>
        <w:r>
          <w:rPr>
            <w:noProof/>
            <w:webHidden/>
          </w:rPr>
          <w:fldChar w:fldCharType="separate"/>
        </w:r>
        <w:r>
          <w:rPr>
            <w:noProof/>
            <w:webHidden/>
          </w:rPr>
          <w:t>3</w:t>
        </w:r>
        <w:r>
          <w:rPr>
            <w:noProof/>
            <w:webHidden/>
          </w:rPr>
          <w:fldChar w:fldCharType="end"/>
        </w:r>
      </w:hyperlink>
    </w:p>
    <w:p w14:paraId="04F8EDEF" w14:textId="583A289B"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06" w:history="1">
        <w:r w:rsidRPr="00903B3A">
          <w:rPr>
            <w:rStyle w:val="Lienhypertexte"/>
          </w:rPr>
          <w:t>Articles 1 et 2 formulation</w:t>
        </w:r>
        <w:r>
          <w:rPr>
            <w:webHidden/>
          </w:rPr>
          <w:tab/>
        </w:r>
        <w:r>
          <w:rPr>
            <w:webHidden/>
          </w:rPr>
          <w:fldChar w:fldCharType="begin"/>
        </w:r>
        <w:r>
          <w:rPr>
            <w:webHidden/>
          </w:rPr>
          <w:instrText xml:space="preserve"> PAGEREF _Toc206057206 \h </w:instrText>
        </w:r>
        <w:r>
          <w:rPr>
            <w:webHidden/>
          </w:rPr>
        </w:r>
        <w:r>
          <w:rPr>
            <w:webHidden/>
          </w:rPr>
          <w:fldChar w:fldCharType="separate"/>
        </w:r>
        <w:r>
          <w:rPr>
            <w:webHidden/>
          </w:rPr>
          <w:t>3</w:t>
        </w:r>
        <w:r>
          <w:rPr>
            <w:webHidden/>
          </w:rPr>
          <w:fldChar w:fldCharType="end"/>
        </w:r>
      </w:hyperlink>
    </w:p>
    <w:p w14:paraId="5CCC9282" w14:textId="631FE3E4"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07" w:history="1">
        <w:r w:rsidRPr="00903B3A">
          <w:rPr>
            <w:rStyle w:val="Lienhypertexte"/>
          </w:rPr>
          <w:t>Article 3, point 3° : maladie chronique</w:t>
        </w:r>
        <w:r>
          <w:rPr>
            <w:webHidden/>
          </w:rPr>
          <w:tab/>
        </w:r>
        <w:r>
          <w:rPr>
            <w:webHidden/>
          </w:rPr>
          <w:fldChar w:fldCharType="begin"/>
        </w:r>
        <w:r>
          <w:rPr>
            <w:webHidden/>
          </w:rPr>
          <w:instrText xml:space="preserve"> PAGEREF _Toc206057207 \h </w:instrText>
        </w:r>
        <w:r>
          <w:rPr>
            <w:webHidden/>
          </w:rPr>
        </w:r>
        <w:r>
          <w:rPr>
            <w:webHidden/>
          </w:rPr>
          <w:fldChar w:fldCharType="separate"/>
        </w:r>
        <w:r>
          <w:rPr>
            <w:webHidden/>
          </w:rPr>
          <w:t>3</w:t>
        </w:r>
        <w:r>
          <w:rPr>
            <w:webHidden/>
          </w:rPr>
          <w:fldChar w:fldCharType="end"/>
        </w:r>
      </w:hyperlink>
    </w:p>
    <w:p w14:paraId="2F1D7745" w14:textId="35F98CAD"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08" w:history="1">
        <w:r w:rsidRPr="00903B3A">
          <w:rPr>
            <w:rStyle w:val="Lienhypertexte"/>
          </w:rPr>
          <w:t>Article 3, point 4° Police fédérale</w:t>
        </w:r>
        <w:r>
          <w:rPr>
            <w:webHidden/>
          </w:rPr>
          <w:tab/>
        </w:r>
        <w:r>
          <w:rPr>
            <w:webHidden/>
          </w:rPr>
          <w:fldChar w:fldCharType="begin"/>
        </w:r>
        <w:r>
          <w:rPr>
            <w:webHidden/>
          </w:rPr>
          <w:instrText xml:space="preserve"> PAGEREF _Toc206057208 \h </w:instrText>
        </w:r>
        <w:r>
          <w:rPr>
            <w:webHidden/>
          </w:rPr>
        </w:r>
        <w:r>
          <w:rPr>
            <w:webHidden/>
          </w:rPr>
          <w:fldChar w:fldCharType="separate"/>
        </w:r>
        <w:r>
          <w:rPr>
            <w:webHidden/>
          </w:rPr>
          <w:t>5</w:t>
        </w:r>
        <w:r>
          <w:rPr>
            <w:webHidden/>
          </w:rPr>
          <w:fldChar w:fldCharType="end"/>
        </w:r>
      </w:hyperlink>
    </w:p>
    <w:p w14:paraId="18755714" w14:textId="492E7FA8"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09" w:history="1">
        <w:r w:rsidRPr="00903B3A">
          <w:rPr>
            <w:rStyle w:val="Lienhypertexte"/>
          </w:rPr>
          <w:t>Article 5, point 2° action positives</w:t>
        </w:r>
        <w:r>
          <w:rPr>
            <w:webHidden/>
          </w:rPr>
          <w:tab/>
        </w:r>
        <w:r>
          <w:rPr>
            <w:webHidden/>
          </w:rPr>
          <w:fldChar w:fldCharType="begin"/>
        </w:r>
        <w:r>
          <w:rPr>
            <w:webHidden/>
          </w:rPr>
          <w:instrText xml:space="preserve"> PAGEREF _Toc206057209 \h </w:instrText>
        </w:r>
        <w:r>
          <w:rPr>
            <w:webHidden/>
          </w:rPr>
        </w:r>
        <w:r>
          <w:rPr>
            <w:webHidden/>
          </w:rPr>
          <w:fldChar w:fldCharType="separate"/>
        </w:r>
        <w:r>
          <w:rPr>
            <w:webHidden/>
          </w:rPr>
          <w:t>6</w:t>
        </w:r>
        <w:r>
          <w:rPr>
            <w:webHidden/>
          </w:rPr>
          <w:fldChar w:fldCharType="end"/>
        </w:r>
      </w:hyperlink>
    </w:p>
    <w:p w14:paraId="689A58E7" w14:textId="2513599C"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10" w:history="1">
        <w:r w:rsidRPr="00903B3A">
          <w:rPr>
            <w:rStyle w:val="Lienhypertexte"/>
          </w:rPr>
          <w:t>Article 5, point 3° monitorer les personnes physiques</w:t>
        </w:r>
        <w:r>
          <w:rPr>
            <w:webHidden/>
          </w:rPr>
          <w:tab/>
        </w:r>
        <w:r>
          <w:rPr>
            <w:webHidden/>
          </w:rPr>
          <w:fldChar w:fldCharType="begin"/>
        </w:r>
        <w:r>
          <w:rPr>
            <w:webHidden/>
          </w:rPr>
          <w:instrText xml:space="preserve"> PAGEREF _Toc206057210 \h </w:instrText>
        </w:r>
        <w:r>
          <w:rPr>
            <w:webHidden/>
          </w:rPr>
        </w:r>
        <w:r>
          <w:rPr>
            <w:webHidden/>
          </w:rPr>
          <w:fldChar w:fldCharType="separate"/>
        </w:r>
        <w:r>
          <w:rPr>
            <w:webHidden/>
          </w:rPr>
          <w:t>7</w:t>
        </w:r>
        <w:r>
          <w:rPr>
            <w:webHidden/>
          </w:rPr>
          <w:fldChar w:fldCharType="end"/>
        </w:r>
      </w:hyperlink>
    </w:p>
    <w:p w14:paraId="0451906E" w14:textId="22FF4F72"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11" w:history="1">
        <w:r w:rsidRPr="00903B3A">
          <w:rPr>
            <w:rStyle w:val="Lienhypertexte"/>
          </w:rPr>
          <w:t>Article 5, point 4° ouverture à la formation professionnelle</w:t>
        </w:r>
        <w:r>
          <w:rPr>
            <w:webHidden/>
          </w:rPr>
          <w:tab/>
        </w:r>
        <w:r>
          <w:rPr>
            <w:webHidden/>
          </w:rPr>
          <w:fldChar w:fldCharType="begin"/>
        </w:r>
        <w:r>
          <w:rPr>
            <w:webHidden/>
          </w:rPr>
          <w:instrText xml:space="preserve"> PAGEREF _Toc206057211 \h </w:instrText>
        </w:r>
        <w:r>
          <w:rPr>
            <w:webHidden/>
          </w:rPr>
        </w:r>
        <w:r>
          <w:rPr>
            <w:webHidden/>
          </w:rPr>
          <w:fldChar w:fldCharType="separate"/>
        </w:r>
        <w:r>
          <w:rPr>
            <w:webHidden/>
          </w:rPr>
          <w:t>7</w:t>
        </w:r>
        <w:r>
          <w:rPr>
            <w:webHidden/>
          </w:rPr>
          <w:fldChar w:fldCharType="end"/>
        </w:r>
      </w:hyperlink>
    </w:p>
    <w:p w14:paraId="481E7EC3" w14:textId="4D0502A2"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12" w:history="1">
        <w:r w:rsidRPr="00903B3A">
          <w:rPr>
            <w:rStyle w:val="Lienhypertexte"/>
          </w:rPr>
          <w:t>Article 5 point 8 clarification</w:t>
        </w:r>
        <w:r>
          <w:rPr>
            <w:webHidden/>
          </w:rPr>
          <w:tab/>
        </w:r>
        <w:r>
          <w:rPr>
            <w:webHidden/>
          </w:rPr>
          <w:fldChar w:fldCharType="begin"/>
        </w:r>
        <w:r>
          <w:rPr>
            <w:webHidden/>
          </w:rPr>
          <w:instrText xml:space="preserve"> PAGEREF _Toc206057212 \h </w:instrText>
        </w:r>
        <w:r>
          <w:rPr>
            <w:webHidden/>
          </w:rPr>
        </w:r>
        <w:r>
          <w:rPr>
            <w:webHidden/>
          </w:rPr>
          <w:fldChar w:fldCharType="separate"/>
        </w:r>
        <w:r>
          <w:rPr>
            <w:webHidden/>
          </w:rPr>
          <w:t>8</w:t>
        </w:r>
        <w:r>
          <w:rPr>
            <w:webHidden/>
          </w:rPr>
          <w:fldChar w:fldCharType="end"/>
        </w:r>
      </w:hyperlink>
    </w:p>
    <w:p w14:paraId="54F1DE86" w14:textId="240BC721" w:rsidR="00C44201" w:rsidRDefault="00C44201">
      <w:pPr>
        <w:pStyle w:val="TM2"/>
        <w:rPr>
          <w:rFonts w:eastAsiaTheme="minorEastAsia" w:cstheme="minorBidi"/>
          <w:b w:val="0"/>
          <w:bCs w:val="0"/>
          <w:kern w:val="2"/>
          <w:sz w:val="24"/>
          <w:szCs w:val="24"/>
          <w:lang w:val="nl-BE" w:eastAsia="nl-BE"/>
          <w14:ligatures w14:val="standardContextual"/>
        </w:rPr>
      </w:pPr>
      <w:hyperlink w:anchor="_Toc206057213" w:history="1">
        <w:r w:rsidRPr="00903B3A">
          <w:rPr>
            <w:rStyle w:val="Lienhypertexte"/>
          </w:rPr>
          <w:t>Article 6 plans d’actions et mesures</w:t>
        </w:r>
        <w:r>
          <w:rPr>
            <w:webHidden/>
          </w:rPr>
          <w:tab/>
        </w:r>
        <w:r>
          <w:rPr>
            <w:webHidden/>
          </w:rPr>
          <w:fldChar w:fldCharType="begin"/>
        </w:r>
        <w:r>
          <w:rPr>
            <w:webHidden/>
          </w:rPr>
          <w:instrText xml:space="preserve"> PAGEREF _Toc206057213 \h </w:instrText>
        </w:r>
        <w:r>
          <w:rPr>
            <w:webHidden/>
          </w:rPr>
        </w:r>
        <w:r>
          <w:rPr>
            <w:webHidden/>
          </w:rPr>
          <w:fldChar w:fldCharType="separate"/>
        </w:r>
        <w:r>
          <w:rPr>
            <w:webHidden/>
          </w:rPr>
          <w:t>8</w:t>
        </w:r>
        <w:r>
          <w:rPr>
            <w:webHidden/>
          </w:rPr>
          <w:fldChar w:fldCharType="end"/>
        </w:r>
      </w:hyperlink>
    </w:p>
    <w:p w14:paraId="5DF292CB" w14:textId="0AC7AD86" w:rsidR="00C44201" w:rsidRDefault="00C44201">
      <w:pPr>
        <w:pStyle w:val="TM1"/>
        <w:tabs>
          <w:tab w:val="right" w:pos="9628"/>
        </w:tabs>
        <w:rPr>
          <w:rFonts w:eastAsiaTheme="minorEastAsia" w:cstheme="minorBidi"/>
          <w:b w:val="0"/>
          <w:bCs w:val="0"/>
          <w:noProof/>
          <w:kern w:val="2"/>
          <w:sz w:val="24"/>
          <w:lang w:val="nl-BE" w:eastAsia="nl-BE"/>
          <w14:ligatures w14:val="standardContextual"/>
        </w:rPr>
      </w:pPr>
      <w:hyperlink w:anchor="_Toc206057214" w:history="1">
        <w:r w:rsidRPr="00903B3A">
          <w:rPr>
            <w:rStyle w:val="Lienhypertexte"/>
            <w:noProof/>
          </w:rPr>
          <w:t>Conclusion</w:t>
        </w:r>
        <w:r>
          <w:rPr>
            <w:noProof/>
            <w:webHidden/>
          </w:rPr>
          <w:tab/>
        </w:r>
        <w:r>
          <w:rPr>
            <w:noProof/>
            <w:webHidden/>
          </w:rPr>
          <w:fldChar w:fldCharType="begin"/>
        </w:r>
        <w:r>
          <w:rPr>
            <w:noProof/>
            <w:webHidden/>
          </w:rPr>
          <w:instrText xml:space="preserve"> PAGEREF _Toc206057214 \h </w:instrText>
        </w:r>
        <w:r>
          <w:rPr>
            <w:noProof/>
            <w:webHidden/>
          </w:rPr>
        </w:r>
        <w:r>
          <w:rPr>
            <w:noProof/>
            <w:webHidden/>
          </w:rPr>
          <w:fldChar w:fldCharType="separate"/>
        </w:r>
        <w:r>
          <w:rPr>
            <w:noProof/>
            <w:webHidden/>
          </w:rPr>
          <w:t>10</w:t>
        </w:r>
        <w:r>
          <w:rPr>
            <w:noProof/>
            <w:webHidden/>
          </w:rPr>
          <w:fldChar w:fldCharType="end"/>
        </w:r>
      </w:hyperlink>
    </w:p>
    <w:p w14:paraId="3DF666F7" w14:textId="45F7E68D" w:rsidR="00C44201" w:rsidRDefault="00C44201">
      <w:pPr>
        <w:pStyle w:val="TM1"/>
        <w:tabs>
          <w:tab w:val="right" w:pos="9628"/>
        </w:tabs>
        <w:rPr>
          <w:rFonts w:eastAsiaTheme="minorEastAsia" w:cstheme="minorBidi"/>
          <w:b w:val="0"/>
          <w:bCs w:val="0"/>
          <w:noProof/>
          <w:kern w:val="2"/>
          <w:sz w:val="24"/>
          <w:lang w:val="nl-BE" w:eastAsia="nl-BE"/>
          <w14:ligatures w14:val="standardContextual"/>
        </w:rPr>
      </w:pPr>
      <w:hyperlink w:anchor="_Toc206057215" w:history="1">
        <w:r w:rsidRPr="00903B3A">
          <w:rPr>
            <w:rStyle w:val="Lienhypertexte"/>
            <w:noProof/>
          </w:rPr>
          <w:t>Signature du président</w:t>
        </w:r>
        <w:r>
          <w:rPr>
            <w:noProof/>
            <w:webHidden/>
          </w:rPr>
          <w:tab/>
        </w:r>
        <w:r>
          <w:rPr>
            <w:noProof/>
            <w:webHidden/>
          </w:rPr>
          <w:fldChar w:fldCharType="begin"/>
        </w:r>
        <w:r>
          <w:rPr>
            <w:noProof/>
            <w:webHidden/>
          </w:rPr>
          <w:instrText xml:space="preserve"> PAGEREF _Toc206057215 \h </w:instrText>
        </w:r>
        <w:r>
          <w:rPr>
            <w:noProof/>
            <w:webHidden/>
          </w:rPr>
        </w:r>
        <w:r>
          <w:rPr>
            <w:noProof/>
            <w:webHidden/>
          </w:rPr>
          <w:fldChar w:fldCharType="separate"/>
        </w:r>
        <w:r>
          <w:rPr>
            <w:noProof/>
            <w:webHidden/>
          </w:rPr>
          <w:t>10</w:t>
        </w:r>
        <w:r>
          <w:rPr>
            <w:noProof/>
            <w:webHidden/>
          </w:rPr>
          <w:fldChar w:fldCharType="end"/>
        </w:r>
      </w:hyperlink>
    </w:p>
    <w:p w14:paraId="778A7B00" w14:textId="30D8D6D1" w:rsidR="006D1711" w:rsidRPr="001811D6" w:rsidRDefault="006D1711" w:rsidP="006D1711">
      <w:r w:rsidRPr="001811D6">
        <w:rPr>
          <w:rFonts w:asciiTheme="majorHAnsi" w:hAnsiTheme="majorHAnsi" w:cs="Times New Roman (Body CS)"/>
          <w:caps/>
          <w:sz w:val="24"/>
        </w:rPr>
        <w:fldChar w:fldCharType="end"/>
      </w:r>
      <w:r w:rsidRPr="001811D6">
        <w:br w:type="page"/>
      </w:r>
    </w:p>
    <w:p w14:paraId="259F72E0" w14:textId="77777777" w:rsidR="0087486C" w:rsidRPr="001811D6" w:rsidRDefault="0087486C" w:rsidP="002C5C7C">
      <w:pPr>
        <w:pStyle w:val="Titre1"/>
      </w:pPr>
      <w:bookmarkStart w:id="6" w:name="_Toc206057204"/>
      <w:r w:rsidRPr="001811D6">
        <w:lastRenderedPageBreak/>
        <w:t>Introduction</w:t>
      </w:r>
      <w:bookmarkEnd w:id="6"/>
      <w:r w:rsidRPr="001811D6">
        <w:t xml:space="preserve"> </w:t>
      </w:r>
    </w:p>
    <w:p w14:paraId="73D15F68" w14:textId="26A2F48E" w:rsidR="0087486C" w:rsidRPr="001811D6" w:rsidRDefault="004C3582" w:rsidP="0087486C">
      <w:r w:rsidRPr="001811D6">
        <w:t xml:space="preserve">Réunie le 5 septembre 2025 pour </w:t>
      </w:r>
      <w:r w:rsidR="00590879" w:rsidRPr="001811D6">
        <w:t xml:space="preserve">discuter des documents liés à la réforme, la commission formule l’avis ci-dessous. </w:t>
      </w:r>
      <w:r w:rsidR="000D411C" w:rsidRPr="001811D6">
        <w:t xml:space="preserve">Elle joue ainsi son rôle de conseil auprès de la ministre de la fonction publique, conformément à ses missions </w:t>
      </w:r>
      <w:r w:rsidR="00691069" w:rsidRPr="001811D6">
        <w:t xml:space="preserve">fixées dans </w:t>
      </w:r>
      <w:hyperlink r:id="rId12" w:anchor="Art.2" w:history="1">
        <w:r w:rsidR="00691069" w:rsidRPr="001811D6">
          <w:rPr>
            <w:rStyle w:val="Lienhypertexte"/>
          </w:rPr>
          <w:t>l’article 3</w:t>
        </w:r>
      </w:hyperlink>
      <w:r w:rsidR="00691069" w:rsidRPr="001811D6">
        <w:t xml:space="preserve"> de l’arrêté royal du 6 octobre 2005 portant l'inclusion des personnes handicapées et des aménagements raisonnables lors de sélections. </w:t>
      </w:r>
    </w:p>
    <w:p w14:paraId="0F950692" w14:textId="77777777" w:rsidR="0087486C" w:rsidRPr="001811D6" w:rsidRDefault="0087486C" w:rsidP="002C5C7C">
      <w:pPr>
        <w:pStyle w:val="Titre1"/>
      </w:pPr>
      <w:bookmarkStart w:id="7" w:name="_Toc206057205"/>
      <w:r w:rsidRPr="001811D6">
        <w:t>Commentaire par article</w:t>
      </w:r>
      <w:bookmarkEnd w:id="7"/>
      <w:r w:rsidRPr="001811D6">
        <w:t xml:space="preserve"> </w:t>
      </w:r>
    </w:p>
    <w:p w14:paraId="68015B87" w14:textId="72D2DF47" w:rsidR="0087486C" w:rsidRPr="001811D6" w:rsidRDefault="00EE5F8A" w:rsidP="00C20E88">
      <w:r w:rsidRPr="001811D6">
        <w:t>Il convient de lire les propositions de réforme formulées à la lumière du commentaire explicatif disponible</w:t>
      </w:r>
      <w:r w:rsidR="00FE1797" w:rsidRPr="001811D6">
        <w:t xml:space="preserve"> dans</w:t>
      </w:r>
      <w:r w:rsidRPr="001811D6">
        <w:t xml:space="preserve"> le rapport au Roi, qui permet d’en saisir plus aisément le sens et la portée. Pour des raisons de facilité de lecture, l</w:t>
      </w:r>
      <w:r w:rsidR="000D7286" w:rsidRPr="001811D6">
        <w:t>a commission formule un avis par numéro d’article du projet d’arrêté royal modificatif</w:t>
      </w:r>
      <w:r w:rsidRPr="001811D6">
        <w:t>, et non par rapport à l’article qui sera modifié in fine dans la version coordonnée de l’arrêté</w:t>
      </w:r>
      <w:r w:rsidR="004C21C7" w:rsidRPr="001811D6">
        <w:t xml:space="preserve">. Seuls les articles pour lesquelles elle émet des réflexions sont donc traités dans cet avis. </w:t>
      </w:r>
    </w:p>
    <w:p w14:paraId="229258CA" w14:textId="628057A4" w:rsidR="00361E23" w:rsidRPr="001811D6" w:rsidRDefault="00361E23" w:rsidP="00361E23">
      <w:pPr>
        <w:pStyle w:val="Titre2"/>
      </w:pPr>
      <w:bookmarkStart w:id="8" w:name="_Toc206057206"/>
      <w:r w:rsidRPr="001811D6">
        <w:t>Article</w:t>
      </w:r>
      <w:r w:rsidR="00A77325" w:rsidRPr="001811D6">
        <w:t xml:space="preserve">s </w:t>
      </w:r>
      <w:r w:rsidRPr="001811D6">
        <w:t>1</w:t>
      </w:r>
      <w:r w:rsidR="00A77325" w:rsidRPr="001811D6">
        <w:t xml:space="preserve"> et 2</w:t>
      </w:r>
      <w:r w:rsidR="001B2C13" w:rsidRPr="001811D6">
        <w:t xml:space="preserve"> formulation</w:t>
      </w:r>
      <w:bookmarkEnd w:id="8"/>
    </w:p>
    <w:p w14:paraId="63CFC1EB" w14:textId="19A4C07C" w:rsidR="00083B22" w:rsidRPr="001811D6" w:rsidRDefault="00406F67" w:rsidP="00361E23">
      <w:r w:rsidRPr="001811D6">
        <w:t xml:space="preserve">La commission salue cette modification touchant la </w:t>
      </w:r>
      <w:r w:rsidRPr="001811D6">
        <w:rPr>
          <w:b/>
          <w:bCs/>
        </w:rPr>
        <w:t>formulation</w:t>
      </w:r>
      <w:r w:rsidR="006832ED" w:rsidRPr="001811D6">
        <w:rPr>
          <w:b/>
          <w:bCs/>
        </w:rPr>
        <w:t xml:space="preserve"> inclusive et respectueuse</w:t>
      </w:r>
      <w:r w:rsidRPr="001811D6">
        <w:t xml:space="preserve">. Lors de la précédente réforme, le Conseil d’Etat avait privilégié une traduction </w:t>
      </w:r>
      <w:r w:rsidR="008D01D0" w:rsidRPr="001811D6">
        <w:t>littérale</w:t>
      </w:r>
      <w:r w:rsidRPr="001811D6">
        <w:t xml:space="preserve"> entre les deux langues, mais la formulation française proposée ici est en effet </w:t>
      </w:r>
      <w:r w:rsidR="00680AA1" w:rsidRPr="001811D6">
        <w:t>plus pertinente, sans impacter la formulation néerlandaise ni induire d’ailleurs une nuance de sens</w:t>
      </w:r>
      <w:r w:rsidRPr="001811D6">
        <w:t xml:space="preserve">. </w:t>
      </w:r>
      <w:r w:rsidR="00680AA1" w:rsidRPr="001811D6">
        <w:t xml:space="preserve">La validation de cette modification par la CIPH </w:t>
      </w:r>
      <w:r w:rsidR="00083B22" w:rsidRPr="001811D6">
        <w:t xml:space="preserve">vaut </w:t>
      </w:r>
      <w:r w:rsidR="00680AA1" w:rsidRPr="001811D6">
        <w:t>également</w:t>
      </w:r>
      <w:r w:rsidR="00083B22" w:rsidRPr="001811D6">
        <w:t xml:space="preserve"> pour la même adaptation de </w:t>
      </w:r>
      <w:r w:rsidR="00BD0AFA" w:rsidRPr="001811D6">
        <w:t xml:space="preserve">la </w:t>
      </w:r>
      <w:r w:rsidR="00083B22" w:rsidRPr="001811D6">
        <w:t xml:space="preserve">formulation française </w:t>
      </w:r>
      <w:r w:rsidR="00BD0AFA" w:rsidRPr="001811D6">
        <w:t xml:space="preserve">partout </w:t>
      </w:r>
      <w:r w:rsidR="00083B22" w:rsidRPr="001811D6">
        <w:t>dans le reste de l’arrêté.</w:t>
      </w:r>
      <w:r w:rsidR="00025848" w:rsidRPr="001811D6">
        <w:t xml:space="preserve"> L’alignement de la formulation francophone sur la formule reprise dans l’article 22 ter de la Constitution est tout à fait pertinent.</w:t>
      </w:r>
    </w:p>
    <w:p w14:paraId="680FF165" w14:textId="5666C699" w:rsidR="0037213C" w:rsidRPr="001811D6" w:rsidRDefault="0037213C" w:rsidP="0037213C">
      <w:pPr>
        <w:pStyle w:val="Titre2"/>
      </w:pPr>
      <w:bookmarkStart w:id="9" w:name="_Toc206057207"/>
      <w:r w:rsidRPr="001811D6">
        <w:t>Article 3</w:t>
      </w:r>
      <w:r w:rsidR="00FF6176" w:rsidRPr="001811D6">
        <w:t>, point 3°</w:t>
      </w:r>
      <w:r w:rsidR="0082706B" w:rsidRPr="001811D6">
        <w:t> : maladie chronique</w:t>
      </w:r>
      <w:bookmarkEnd w:id="9"/>
    </w:p>
    <w:p w14:paraId="24EADCB1" w14:textId="67A35A51" w:rsidR="002F277D" w:rsidRPr="001811D6" w:rsidRDefault="00457F2D" w:rsidP="00457F2D">
      <w:r w:rsidRPr="001811D6">
        <w:t xml:space="preserve">La CIPH </w:t>
      </w:r>
      <w:r w:rsidR="002F277D" w:rsidRPr="001811D6">
        <w:t>commence par une mise en contexte</w:t>
      </w:r>
      <w:r w:rsidR="002D1CD2" w:rsidRPr="001811D6">
        <w:t xml:space="preserve"> pour situer le débat. </w:t>
      </w:r>
    </w:p>
    <w:p w14:paraId="63093B77" w14:textId="0F1474FE" w:rsidR="00457F2D" w:rsidRPr="001811D6" w:rsidRDefault="00457F2D" w:rsidP="00457F2D">
      <w:r w:rsidRPr="001811D6">
        <w:lastRenderedPageBreak/>
        <w:t xml:space="preserve">Le statut de </w:t>
      </w:r>
      <w:r w:rsidRPr="001811D6">
        <w:rPr>
          <w:i/>
          <w:iCs/>
        </w:rPr>
        <w:t>« personne atteinte d’une affection chronique </w:t>
      </w:r>
      <w:r w:rsidRPr="001811D6">
        <w:t>»</w:t>
      </w:r>
      <w:r w:rsidR="00C87D88" w:rsidRPr="001811D6">
        <w:t>, telle que reconnue par l’INAMI en collaboration avec les mutualités,</w:t>
      </w:r>
      <w:r w:rsidRPr="001811D6">
        <w:t xml:space="preserve"> a été instauré par la loi du 27 décembre 2012</w:t>
      </w:r>
      <w:r w:rsidRPr="001811D6">
        <w:rPr>
          <w:vertAlign w:val="superscript"/>
        </w:rPr>
        <w:footnoteReference w:id="1"/>
      </w:r>
      <w:r w:rsidRPr="001811D6">
        <w:t xml:space="preserve"> qui a inséré l’article 37vicies/1 dans la loi coordonnée du 14 juillet 1994 relative à l’assurance soins de santé et indemnités</w:t>
      </w:r>
      <w:r w:rsidRPr="001811D6">
        <w:rPr>
          <w:vertAlign w:val="superscript"/>
        </w:rPr>
        <w:footnoteReference w:id="2"/>
      </w:r>
      <w:r w:rsidRPr="001811D6">
        <w:t xml:space="preserve">. Cette disposition habilite le Roi à établir, par arrêté, un statut de malade chronique et à y lier certains droits. L’arrêté royal du 15 décembre </w:t>
      </w:r>
      <w:r w:rsidR="001245E9" w:rsidRPr="001811D6">
        <w:t xml:space="preserve">2013 </w:t>
      </w:r>
      <w:r w:rsidRPr="001811D6">
        <w:t>a fait application de cette disposition</w:t>
      </w:r>
      <w:r w:rsidRPr="001811D6">
        <w:rPr>
          <w:vertAlign w:val="superscript"/>
        </w:rPr>
        <w:footnoteReference w:id="3"/>
      </w:r>
      <w:r w:rsidRPr="001811D6">
        <w:t>.</w:t>
      </w:r>
    </w:p>
    <w:p w14:paraId="743B30F3" w14:textId="77777777" w:rsidR="00457F2D" w:rsidRPr="001811D6" w:rsidRDefault="00457F2D" w:rsidP="00457F2D">
      <w:r w:rsidRPr="001811D6">
        <w:t xml:space="preserve">La loi énumère trois critères dont il est tenu compte pour définir ce statut : </w:t>
      </w:r>
    </w:p>
    <w:p w14:paraId="1DD1C9A0" w14:textId="77777777" w:rsidR="00457F2D" w:rsidRPr="001811D6" w:rsidRDefault="00457F2D" w:rsidP="00457F2D">
      <w:r w:rsidRPr="001811D6">
        <w:t xml:space="preserve">1° un montant minimum de dépenses de santé sur une période déterminée ; </w:t>
      </w:r>
    </w:p>
    <w:p w14:paraId="1430AF9B" w14:textId="77777777" w:rsidR="00457F2D" w:rsidRPr="001811D6" w:rsidRDefault="00457F2D" w:rsidP="00457F2D">
      <w:r w:rsidRPr="001811D6">
        <w:t xml:space="preserve">2° le bénéfice de l’allocation forfaitaire pour soins chroniques (dite “forfait soins”, art. 37, §16bis, 2° de ladite loi de 1994) ; </w:t>
      </w:r>
    </w:p>
    <w:p w14:paraId="2ACD94CB" w14:textId="3160D0B6" w:rsidR="00457F2D" w:rsidRPr="001811D6" w:rsidRDefault="00457F2D" w:rsidP="00457F2D">
      <w:r w:rsidRPr="001811D6">
        <w:t>3° le fait d’être atteint d’une affection rare ou orpheline</w:t>
      </w:r>
      <w:r w:rsidR="005D2476" w:rsidRPr="001811D6">
        <w:t xml:space="preserve">. </w:t>
      </w:r>
    </w:p>
    <w:p w14:paraId="042BDCDD" w14:textId="68D21A01" w:rsidR="009A46AE" w:rsidRPr="001811D6" w:rsidRDefault="009A46AE" w:rsidP="00457F2D">
      <w:r w:rsidRPr="001811D6">
        <w:t xml:space="preserve">Ni la loi de 2012, ni l’AR de 2013 n’évoquent la notion d’incapacité, de handicap ou de limitation d’activité. </w:t>
      </w:r>
      <w:r w:rsidR="007D0727" w:rsidRPr="001811D6">
        <w:t>C</w:t>
      </w:r>
      <w:r w:rsidRPr="001811D6">
        <w:t>e statut peut donc bénéficier à des personnes dont l’état de santé exige des soins coûteux, sans que ces personnes soient nécessairement diminuées dans leurs aptitudes physiques, mentales ou sensorielles de façon durable. Par exemple, un patient diabétique insulino-dépendant peut, du fait du coût de son traitement et de suivis réguliers, obtenir le statut de malade chronique.</w:t>
      </w:r>
      <w:r w:rsidR="00EC5CF4" w:rsidRPr="001811D6">
        <w:t xml:space="preserve"> </w:t>
      </w:r>
    </w:p>
    <w:p w14:paraId="110DD287" w14:textId="5B7E3D57" w:rsidR="00EC5CF4" w:rsidRPr="001811D6" w:rsidRDefault="00EC5CF4" w:rsidP="00457F2D">
      <w:r w:rsidRPr="001811D6">
        <w:t xml:space="preserve">Certains organismes compétents, comme le VAPH, tiennent compte dans leur pratique de certaines situations de maladie chronique entraînant une limitation durable. </w:t>
      </w:r>
    </w:p>
    <w:p w14:paraId="2D40F40E" w14:textId="37C276F1" w:rsidR="0026199C" w:rsidRPr="001811D6" w:rsidRDefault="00CB5750" w:rsidP="0026199C">
      <w:r w:rsidRPr="001811D6">
        <w:t>On peut également rappeler l’avis n° 75.870/3 du 3 avril 2024 du Conseil d’Etat</w:t>
      </w:r>
      <w:r w:rsidRPr="001811D6">
        <w:rPr>
          <w:rStyle w:val="Appelnotedebasdep"/>
        </w:rPr>
        <w:footnoteReference w:id="4"/>
      </w:r>
      <w:r w:rsidRPr="001811D6">
        <w:t xml:space="preserve">, qui recommandait à cet égard de parler explicitement dans les textes réglementaires « du handicap, </w:t>
      </w:r>
      <w:r w:rsidRPr="001811D6">
        <w:rPr>
          <w:i/>
          <w:iCs/>
        </w:rPr>
        <w:t>en ce compris la maladie chronique </w:t>
      </w:r>
      <w:r w:rsidRPr="001811D6">
        <w:t xml:space="preserve">». </w:t>
      </w:r>
      <w:r w:rsidR="0026199C" w:rsidRPr="001811D6">
        <w:t>Si on regarde ce thème dans le secteur public au sens large, on constate que l’administration flamande tient compte</w:t>
      </w:r>
      <w:r w:rsidR="00901E64" w:rsidRPr="001811D6">
        <w:t xml:space="preserve"> à sa façon</w:t>
      </w:r>
      <w:r w:rsidR="0026199C" w:rsidRPr="001811D6">
        <w:t xml:space="preserve"> de </w:t>
      </w:r>
      <w:r w:rsidR="00901E64" w:rsidRPr="001811D6">
        <w:t>l’</w:t>
      </w:r>
      <w:r w:rsidR="0026199C" w:rsidRPr="001811D6">
        <w:t xml:space="preserve">aspect </w:t>
      </w:r>
      <w:r w:rsidR="00901E64" w:rsidRPr="001811D6">
        <w:t xml:space="preserve">de l’aspect maladie chronique </w:t>
      </w:r>
      <w:r w:rsidR="0026199C" w:rsidRPr="001811D6">
        <w:t>dans son monitoring du handicap</w:t>
      </w:r>
      <w:r w:rsidR="0026199C" w:rsidRPr="001811D6">
        <w:rPr>
          <w:rStyle w:val="Appelnotedebasdep"/>
        </w:rPr>
        <w:footnoteReference w:id="5"/>
      </w:r>
      <w:r w:rsidR="0026199C" w:rsidRPr="001811D6">
        <w:t xml:space="preserve">. </w:t>
      </w:r>
    </w:p>
    <w:p w14:paraId="65145B41" w14:textId="2FDF81F2" w:rsidR="00CB5750" w:rsidRPr="001811D6" w:rsidRDefault="00CB5750" w:rsidP="00CB5750"/>
    <w:p w14:paraId="72B162E2" w14:textId="77777777" w:rsidR="001D2503" w:rsidRPr="001811D6" w:rsidRDefault="001D2503" w:rsidP="00457F2D"/>
    <w:p w14:paraId="0724A076" w14:textId="65CADFC0" w:rsidR="005D2476" w:rsidRPr="001811D6" w:rsidRDefault="001E6F80" w:rsidP="00457F2D">
      <w:r w:rsidRPr="001811D6">
        <w:lastRenderedPageBreak/>
        <w:t xml:space="preserve">La </w:t>
      </w:r>
      <w:r w:rsidR="00F414FC" w:rsidRPr="001811D6">
        <w:t xml:space="preserve">CIPH estime que réfléchir à la maladie chronique </w:t>
      </w:r>
      <w:r w:rsidR="001C46E5" w:rsidRPr="001811D6">
        <w:t xml:space="preserve">dans l’optique de l’AR de 2005 </w:t>
      </w:r>
      <w:r w:rsidR="00F414FC" w:rsidRPr="001811D6">
        <w:t>suit</w:t>
      </w:r>
      <w:r w:rsidR="005D2476" w:rsidRPr="001811D6">
        <w:t xml:space="preserve"> l’esprit de la CIDPH</w:t>
      </w:r>
      <w:r w:rsidR="005D2476" w:rsidRPr="001811D6">
        <w:rPr>
          <w:rStyle w:val="Appelnotedebasdep"/>
        </w:rPr>
        <w:footnoteReference w:id="6"/>
      </w:r>
      <w:r w:rsidR="00BE618C" w:rsidRPr="001811D6">
        <w:t>.</w:t>
      </w:r>
      <w:r w:rsidR="005D2476" w:rsidRPr="001811D6">
        <w:t xml:space="preserve"> </w:t>
      </w:r>
      <w:r w:rsidR="00BE618C" w:rsidRPr="001811D6">
        <w:t>E</w:t>
      </w:r>
      <w:r w:rsidR="001C46E5" w:rsidRPr="001811D6">
        <w:t xml:space="preserve">lle </w:t>
      </w:r>
      <w:r w:rsidR="00F41965" w:rsidRPr="001811D6">
        <w:t xml:space="preserve">exprime </w:t>
      </w:r>
      <w:r w:rsidR="00BE618C" w:rsidRPr="001811D6">
        <w:t xml:space="preserve">toutefois des réserves sur l’assimilation automatique du statut de maladie </w:t>
      </w:r>
      <w:r w:rsidR="00F41965" w:rsidRPr="001811D6">
        <w:t xml:space="preserve">chronique </w:t>
      </w:r>
      <w:r w:rsidR="00BE618C" w:rsidRPr="001811D6">
        <w:t xml:space="preserve">reconnu par l’INAMI sous sa forme actuelle à une situation de handicap. </w:t>
      </w:r>
      <w:r w:rsidR="00716A02" w:rsidRPr="001811D6">
        <w:t xml:space="preserve">Elle indique que certaines attestations de handicap </w:t>
      </w:r>
      <w:r w:rsidR="002C52BB" w:rsidRPr="001811D6">
        <w:t xml:space="preserve">entrant en compte pour le monitoring </w:t>
      </w:r>
      <w:r w:rsidR="003F24C5" w:rsidRPr="001811D6">
        <w:t xml:space="preserve">CIPH actuel </w:t>
      </w:r>
      <w:r w:rsidR="002C52BB" w:rsidRPr="001811D6">
        <w:t xml:space="preserve">correspondent déjà à des situations de maladie chronique </w:t>
      </w:r>
      <w:r w:rsidR="003F24C5" w:rsidRPr="001811D6">
        <w:t xml:space="preserve">et demande </w:t>
      </w:r>
      <w:r w:rsidR="00431034" w:rsidRPr="001811D6">
        <w:t xml:space="preserve">s’il est possible de tenir de </w:t>
      </w:r>
      <w:r w:rsidR="002F5BB1" w:rsidRPr="001811D6">
        <w:t xml:space="preserve">compte de </w:t>
      </w:r>
      <w:r w:rsidR="00431034" w:rsidRPr="001811D6">
        <w:t>l’impact durablement invalidant dans la réforme</w:t>
      </w:r>
      <w:r w:rsidR="002F5BB1" w:rsidRPr="001811D6">
        <w:t xml:space="preserve"> de l’AR de 2005</w:t>
      </w:r>
      <w:r w:rsidR="003F24C5" w:rsidRPr="001811D6">
        <w:t>.</w:t>
      </w:r>
      <w:r w:rsidR="001C46E5" w:rsidRPr="001811D6">
        <w:t xml:space="preserve"> </w:t>
      </w:r>
      <w:r w:rsidR="00F625EB">
        <w:t>Elle suggère</w:t>
      </w:r>
      <w:r w:rsidR="00230CAA" w:rsidRPr="001811D6">
        <w:t xml:space="preserve"> qu’un service compétent </w:t>
      </w:r>
      <w:r w:rsidR="00F625EB">
        <w:t>(</w:t>
      </w:r>
      <w:r w:rsidR="000E67CE" w:rsidRPr="001811D6">
        <w:t>comme le Medex</w:t>
      </w:r>
      <w:r w:rsidR="00F625EB">
        <w:t>)</w:t>
      </w:r>
      <w:r w:rsidR="000E67CE" w:rsidRPr="001811D6">
        <w:t xml:space="preserve"> puisse reconnaître des situations de maladie chron</w:t>
      </w:r>
      <w:r w:rsidR="005216E6" w:rsidRPr="001811D6">
        <w:t>ique à l’impact durablement invalidant</w:t>
      </w:r>
      <w:r w:rsidR="002F5BB1" w:rsidRPr="001811D6">
        <w:t>, moyennant une modification réglementaire en ce sens et pour comp</w:t>
      </w:r>
      <w:r w:rsidR="00F36349" w:rsidRPr="001811D6">
        <w:t>léter</w:t>
      </w:r>
      <w:r w:rsidR="002F5BB1" w:rsidRPr="001811D6">
        <w:t xml:space="preserve"> les sources d’attestation.</w:t>
      </w:r>
      <w:r w:rsidR="005216E6" w:rsidRPr="001811D6">
        <w:t xml:space="preserve"> </w:t>
      </w:r>
    </w:p>
    <w:p w14:paraId="0B8A869F" w14:textId="283069DB" w:rsidR="00B50F27" w:rsidRPr="001811D6" w:rsidRDefault="003F35D0" w:rsidP="00D94162">
      <w:r w:rsidRPr="001811D6">
        <w:t xml:space="preserve">La </w:t>
      </w:r>
      <w:r w:rsidR="000F4A39" w:rsidRPr="001811D6">
        <w:t>CIPH</w:t>
      </w:r>
      <w:r w:rsidRPr="001811D6">
        <w:t xml:space="preserve"> fait le lien</w:t>
      </w:r>
      <w:r w:rsidR="000F4A39" w:rsidRPr="001811D6">
        <w:t xml:space="preserve"> entre l’idée des maladies chroniques</w:t>
      </w:r>
      <w:r w:rsidRPr="001811D6">
        <w:t xml:space="preserve"> </w:t>
      </w:r>
      <w:r w:rsidR="000F4A39" w:rsidRPr="001811D6">
        <w:t>et</w:t>
      </w:r>
      <w:r w:rsidRPr="001811D6">
        <w:t xml:space="preserve"> ses recommandations numéro 5 et numéro 9 issues de son dernier rapport annuel en date</w:t>
      </w:r>
      <w:r w:rsidRPr="001811D6">
        <w:rPr>
          <w:rStyle w:val="Appelnotedebasdep"/>
        </w:rPr>
        <w:footnoteReference w:id="7"/>
      </w:r>
      <w:r w:rsidRPr="001811D6">
        <w:t>.</w:t>
      </w:r>
      <w:r w:rsidR="00BA4DF5" w:rsidRPr="001811D6">
        <w:t xml:space="preserve"> Elles portent respectivement sur les aménagements au travail et notamment sur l’importance du travail à temps partiel qui est à faciliter pour tenir compte notamment d’états de santé invalidants, et sur l’intégration de toutes les données RH pertinentes en matière de handicap.</w:t>
      </w:r>
    </w:p>
    <w:p w14:paraId="087ABF71" w14:textId="56F9CBA9" w:rsidR="00670A89" w:rsidRPr="001811D6" w:rsidRDefault="00670A89" w:rsidP="00670A89">
      <w:pPr>
        <w:pStyle w:val="Titre2"/>
      </w:pPr>
      <w:bookmarkStart w:id="10" w:name="_Toc206057208"/>
      <w:r w:rsidRPr="001811D6">
        <w:t>Article 3, point 4°</w:t>
      </w:r>
      <w:r w:rsidR="006175BE" w:rsidRPr="001811D6">
        <w:t xml:space="preserve"> Police fédérale</w:t>
      </w:r>
      <w:bookmarkEnd w:id="10"/>
    </w:p>
    <w:p w14:paraId="1BF10DEF" w14:textId="28D042AC" w:rsidR="005E5492" w:rsidRPr="001811D6" w:rsidRDefault="00FE289E" w:rsidP="00FE289E">
      <w:r w:rsidRPr="001811D6">
        <w:t xml:space="preserve">Le Rapport au Roi explique que la </w:t>
      </w:r>
      <w:r w:rsidRPr="001811D6">
        <w:rPr>
          <w:b/>
          <w:bCs/>
        </w:rPr>
        <w:t>Police fédérale</w:t>
      </w:r>
      <w:r w:rsidR="00C133EA" w:rsidRPr="001811D6">
        <w:t xml:space="preserve"> va être sortie du champ d’application du monitoring CIPH. </w:t>
      </w:r>
      <w:r w:rsidR="009E622F" w:rsidRPr="001811D6">
        <w:t>Cela relève d’un choix politique</w:t>
      </w:r>
      <w:r w:rsidR="00156B08" w:rsidRPr="001811D6">
        <w:t xml:space="preserve"> et de la logique juridique</w:t>
      </w:r>
      <w:r w:rsidR="003E06CA" w:rsidRPr="001811D6">
        <w:t xml:space="preserve"> du cadre réglementaire</w:t>
      </w:r>
      <w:r w:rsidR="00C54F57" w:rsidRPr="001811D6">
        <w:t xml:space="preserve"> CIPH</w:t>
      </w:r>
      <w:r w:rsidR="003E06CA" w:rsidRPr="001811D6">
        <w:t>. La CIPH observe que</w:t>
      </w:r>
      <w:r w:rsidR="009E622F" w:rsidRPr="001811D6">
        <w:t xml:space="preserve"> la Police fédérale n’éta</w:t>
      </w:r>
      <w:r w:rsidR="003E06CA" w:rsidRPr="001811D6">
        <w:t>it</w:t>
      </w:r>
      <w:r w:rsidR="009E622F" w:rsidRPr="001811D6">
        <w:t xml:space="preserve"> d’ailleurs que partiellement concernée </w:t>
      </w:r>
      <w:r w:rsidR="003E06CA" w:rsidRPr="001811D6">
        <w:t xml:space="preserve">par le monitoring </w:t>
      </w:r>
      <w:r w:rsidR="00F97A93" w:rsidRPr="001811D6">
        <w:t>actuel</w:t>
      </w:r>
      <w:r w:rsidR="009E622F" w:rsidRPr="001811D6">
        <w:t xml:space="preserve"> puisque seul </w:t>
      </w:r>
      <w:r w:rsidR="00684D68" w:rsidRPr="001811D6">
        <w:t>son personnel administratif</w:t>
      </w:r>
      <w:r w:rsidR="009E622F" w:rsidRPr="001811D6">
        <w:t xml:space="preserve"> est concerné et pas son personnel opérationnel. </w:t>
      </w:r>
      <w:r w:rsidR="00346B84" w:rsidRPr="001811D6">
        <w:t>La CIPH travaillant à l’inclusion dans la fonction publique fédérale</w:t>
      </w:r>
      <w:r w:rsidR="006205B1" w:rsidRPr="001811D6">
        <w:t xml:space="preserve"> administrative</w:t>
      </w:r>
      <w:r w:rsidR="00346B84" w:rsidRPr="001811D6">
        <w:t>,</w:t>
      </w:r>
      <w:r w:rsidR="006205B1" w:rsidRPr="001811D6">
        <w:t xml:space="preserve"> elle fait remarquer que </w:t>
      </w:r>
      <w:r w:rsidR="00B9305D" w:rsidRPr="001811D6">
        <w:t xml:space="preserve">la Police Fédérale n’a </w:t>
      </w:r>
      <w:r w:rsidR="006205B1" w:rsidRPr="001811D6">
        <w:t xml:space="preserve">de tout façon </w:t>
      </w:r>
      <w:r w:rsidR="00B9305D" w:rsidRPr="001811D6">
        <w:t>pas accès aux outils réglementaires et aux leviers d’action</w:t>
      </w:r>
      <w:r w:rsidR="006205B1" w:rsidRPr="001811D6">
        <w:t xml:space="preserve"> positive</w:t>
      </w:r>
      <w:r w:rsidR="00B9305D" w:rsidRPr="001811D6">
        <w:t xml:space="preserve"> mis en place </w:t>
      </w:r>
      <w:r w:rsidR="006205B1" w:rsidRPr="001811D6">
        <w:t xml:space="preserve">dans </w:t>
      </w:r>
      <w:r w:rsidR="005E5492" w:rsidRPr="001811D6">
        <w:t>la</w:t>
      </w:r>
      <w:r w:rsidR="00B9305D" w:rsidRPr="001811D6">
        <w:t xml:space="preserve"> fonction publique fédérale</w:t>
      </w:r>
      <w:r w:rsidR="005E5492" w:rsidRPr="001811D6">
        <w:t xml:space="preserve"> administrative dont elle s’occupe</w:t>
      </w:r>
      <w:r w:rsidR="006205B1" w:rsidRPr="001811D6">
        <w:t>.</w:t>
      </w:r>
      <w:r w:rsidR="00FB3BA9" w:rsidRPr="001811D6">
        <w:t xml:space="preserve"> </w:t>
      </w:r>
    </w:p>
    <w:p w14:paraId="6811936C" w14:textId="0971EAA3" w:rsidR="006205B1" w:rsidRPr="001811D6" w:rsidRDefault="005E5492" w:rsidP="00FE289E">
      <w:r w:rsidRPr="001811D6">
        <w:t xml:space="preserve">La CIPH </w:t>
      </w:r>
      <w:r w:rsidR="00FB3BA9" w:rsidRPr="001811D6">
        <w:t xml:space="preserve">émet en revanche le souhait que la politique d’inclusion et des leviers </w:t>
      </w:r>
      <w:r w:rsidR="002F16AC" w:rsidRPr="001811D6">
        <w:t xml:space="preserve">juridiques </w:t>
      </w:r>
      <w:r w:rsidR="00FB3BA9" w:rsidRPr="001811D6">
        <w:t xml:space="preserve">d’action soient maintenus ou instaurés dans le contexte de la </w:t>
      </w:r>
      <w:r w:rsidR="002F16AC" w:rsidRPr="001811D6">
        <w:t>P</w:t>
      </w:r>
      <w:r w:rsidR="00FB3BA9" w:rsidRPr="001811D6">
        <w:t xml:space="preserve">olice </w:t>
      </w:r>
      <w:r w:rsidR="002F16AC" w:rsidRPr="001811D6">
        <w:t>F</w:t>
      </w:r>
      <w:r w:rsidR="00FB3BA9" w:rsidRPr="001811D6">
        <w:t>édérale, à l’initiative de son ministre de tutelle</w:t>
      </w:r>
      <w:r w:rsidRPr="001811D6">
        <w:t xml:space="preserve">. </w:t>
      </w:r>
      <w:r w:rsidR="00543727" w:rsidRPr="001811D6">
        <w:t>Comme le personnel opérationnel de la Police est visé par une exception issue d’une directive européenne</w:t>
      </w:r>
      <w:r w:rsidR="00543727" w:rsidRPr="001811D6">
        <w:rPr>
          <w:rStyle w:val="Appelnotedebasdep"/>
        </w:rPr>
        <w:footnoteReference w:id="8"/>
      </w:r>
      <w:r w:rsidR="00543727" w:rsidRPr="001811D6">
        <w:t>, transposé</w:t>
      </w:r>
      <w:r w:rsidR="002F16AC" w:rsidRPr="001811D6">
        <w:t>e</w:t>
      </w:r>
      <w:r w:rsidR="00543727" w:rsidRPr="001811D6">
        <w:t xml:space="preserve"> à l’article</w:t>
      </w:r>
      <w:r w:rsidR="002E32FD" w:rsidRPr="001811D6">
        <w:t xml:space="preserve"> 3 5° </w:t>
      </w:r>
      <w:r w:rsidR="006457DC" w:rsidRPr="001811D6">
        <w:t>alinéa 3</w:t>
      </w:r>
      <w:r w:rsidR="00543727" w:rsidRPr="001811D6">
        <w:t xml:space="preserve"> de l’AR d</w:t>
      </w:r>
      <w:r w:rsidR="002F16AC" w:rsidRPr="001811D6">
        <w:t>u 6 octobre</w:t>
      </w:r>
      <w:r w:rsidR="00543727" w:rsidRPr="001811D6">
        <w:t xml:space="preserve"> 2005</w:t>
      </w:r>
      <w:r w:rsidR="00CD1A57" w:rsidRPr="001811D6">
        <w:t xml:space="preserve">, cette exception ne </w:t>
      </w:r>
      <w:r w:rsidR="002F16AC" w:rsidRPr="001811D6">
        <w:t>saurait</w:t>
      </w:r>
      <w:r w:rsidR="00CD1A57" w:rsidRPr="001811D6">
        <w:t xml:space="preserve"> être remise en cause</w:t>
      </w:r>
      <w:r w:rsidR="00AA49B3" w:rsidRPr="001811D6">
        <w:t xml:space="preserve"> par la CIPH</w:t>
      </w:r>
      <w:r w:rsidR="00CD1A57" w:rsidRPr="001811D6">
        <w:t xml:space="preserve">. </w:t>
      </w:r>
      <w:r w:rsidR="00A85FEA" w:rsidRPr="001811D6">
        <w:t xml:space="preserve">Il serait par conséquent utile de poursuivre la politique d’inclusion et de l’ancrer dans les textes juridiques </w:t>
      </w:r>
      <w:r w:rsidR="002F16AC" w:rsidRPr="001811D6">
        <w:t xml:space="preserve">concernant le personnel administratif de la Police Fédérale. </w:t>
      </w:r>
      <w:r w:rsidR="00AC1B9F" w:rsidRPr="001811D6">
        <w:t>La CIPH enjoint l</w:t>
      </w:r>
      <w:r w:rsidR="00EA02F6" w:rsidRPr="001811D6">
        <w:t>a</w:t>
      </w:r>
      <w:r w:rsidR="00AC1B9F" w:rsidRPr="001811D6">
        <w:t xml:space="preserve"> ministre de la fonction publique à </w:t>
      </w:r>
      <w:r w:rsidR="005551A3" w:rsidRPr="001811D6">
        <w:t>se concerter avec l</w:t>
      </w:r>
      <w:r w:rsidR="00EA02F6" w:rsidRPr="001811D6">
        <w:t>e</w:t>
      </w:r>
      <w:r w:rsidR="005551A3" w:rsidRPr="001811D6">
        <w:t xml:space="preserve"> ministre de l’Intérieur </w:t>
      </w:r>
      <w:r w:rsidR="00C86049" w:rsidRPr="001811D6">
        <w:t>pour que ce derni</w:t>
      </w:r>
      <w:r w:rsidR="00EA02F6" w:rsidRPr="001811D6">
        <w:t>er</w:t>
      </w:r>
      <w:r w:rsidR="00C86049" w:rsidRPr="001811D6">
        <w:t xml:space="preserve"> prenne les dispositions adéquates.</w:t>
      </w:r>
    </w:p>
    <w:p w14:paraId="0E630128" w14:textId="77777777" w:rsidR="00670A89" w:rsidRPr="001811D6" w:rsidRDefault="00670A89" w:rsidP="00FF6176"/>
    <w:p w14:paraId="56A87B25" w14:textId="12D3491A" w:rsidR="00372C5A" w:rsidRPr="001811D6" w:rsidRDefault="00526F4E" w:rsidP="00526F4E">
      <w:pPr>
        <w:pStyle w:val="Titre2"/>
      </w:pPr>
      <w:bookmarkStart w:id="11" w:name="_Toc206057209"/>
      <w:r w:rsidRPr="001811D6">
        <w:t>Article 5</w:t>
      </w:r>
      <w:r w:rsidR="00AF114A" w:rsidRPr="001811D6">
        <w:t>, point 2</w:t>
      </w:r>
      <w:r w:rsidR="00EF60B5" w:rsidRPr="001811D6">
        <w:t>°</w:t>
      </w:r>
      <w:r w:rsidR="00334CEF" w:rsidRPr="001811D6">
        <w:t xml:space="preserve"> action positives</w:t>
      </w:r>
      <w:bookmarkEnd w:id="11"/>
    </w:p>
    <w:p w14:paraId="1ABC4B88" w14:textId="3E082EDD" w:rsidR="00EF60B5" w:rsidRPr="001811D6" w:rsidRDefault="005C0942" w:rsidP="00EF60B5">
      <w:r w:rsidRPr="001811D6">
        <w:t xml:space="preserve">La commission juge favorablement cette modification. Celle-ci permet en effet </w:t>
      </w:r>
      <w:r w:rsidR="00A854F6" w:rsidRPr="001811D6">
        <w:t xml:space="preserve">aux organisations qui obtiennent déjà les 3% de personnel </w:t>
      </w:r>
      <w:r w:rsidR="004C40DD" w:rsidRPr="001811D6">
        <w:t>en situation de</w:t>
      </w:r>
      <w:r w:rsidR="00A854F6" w:rsidRPr="001811D6">
        <w:t xml:space="preserve"> handicap de continuer à </w:t>
      </w:r>
      <w:r w:rsidR="00A854F6" w:rsidRPr="001811D6">
        <w:rPr>
          <w:b/>
          <w:bCs/>
        </w:rPr>
        <w:t>appliquer les actions positives fédérales concernant le handicap</w:t>
      </w:r>
      <w:r w:rsidR="00A854F6" w:rsidRPr="001811D6">
        <w:t xml:space="preserve"> comme les sélections réservées et la priorité à l’engagement. Les personnes en situation de handicap </w:t>
      </w:r>
      <w:r w:rsidR="008B58CC" w:rsidRPr="001811D6">
        <w:t>auro</w:t>
      </w:r>
      <w:r w:rsidR="00A854F6" w:rsidRPr="001811D6">
        <w:t>nt ainsi davantage d’opportunités d’emploi dans l’administration. Un employeur volontariste p</w:t>
      </w:r>
      <w:r w:rsidR="008B58CC" w:rsidRPr="001811D6">
        <w:t xml:space="preserve">ourra </w:t>
      </w:r>
      <w:r w:rsidR="00A854F6" w:rsidRPr="001811D6">
        <w:t>de plus maintenir proactivement un taux égal ou supérieur à 3%</w:t>
      </w:r>
      <w:r w:rsidR="008B58CC" w:rsidRPr="001811D6">
        <w:t xml:space="preserve"> par ces démarches</w:t>
      </w:r>
      <w:r w:rsidR="00A854F6" w:rsidRPr="001811D6">
        <w:t xml:space="preserve">. </w:t>
      </w:r>
      <w:r w:rsidR="00F23856" w:rsidRPr="001811D6">
        <w:t xml:space="preserve">Le pourcentage </w:t>
      </w:r>
      <w:r w:rsidR="00FA397E" w:rsidRPr="001811D6">
        <w:t xml:space="preserve">CIPH </w:t>
      </w:r>
      <w:r w:rsidR="00F23856" w:rsidRPr="001811D6">
        <w:t>continue</w:t>
      </w:r>
      <w:r w:rsidR="002102A9" w:rsidRPr="001811D6">
        <w:t>ra</w:t>
      </w:r>
      <w:r w:rsidR="00F23856" w:rsidRPr="001811D6">
        <w:t xml:space="preserve"> à être calculé par organisation pour </w:t>
      </w:r>
      <w:r w:rsidR="00011489" w:rsidRPr="001811D6">
        <w:t xml:space="preserve">conscientiser et </w:t>
      </w:r>
      <w:r w:rsidR="00F23856" w:rsidRPr="001811D6">
        <w:t>responsabiliser les employeurs</w:t>
      </w:r>
      <w:r w:rsidR="00011489" w:rsidRPr="001811D6">
        <w:t xml:space="preserve"> fédéraux concernés. </w:t>
      </w:r>
      <w:r w:rsidR="00744488" w:rsidRPr="001811D6">
        <w:t xml:space="preserve">L’objectif de 3% devient </w:t>
      </w:r>
      <w:r w:rsidR="00465D42" w:rsidRPr="001811D6">
        <w:t xml:space="preserve">ainsi </w:t>
      </w:r>
      <w:r w:rsidR="00744488" w:rsidRPr="001811D6">
        <w:t xml:space="preserve">applicable dans la fonction publique administrative fédérale prise dans sa globalité, ceci respecte le principe de conditionnalité propre </w:t>
      </w:r>
      <w:r w:rsidR="00465D42" w:rsidRPr="001811D6">
        <w:t>à la législation encadrant les</w:t>
      </w:r>
      <w:r w:rsidR="00744488" w:rsidRPr="001811D6">
        <w:t xml:space="preserve"> actions positives</w:t>
      </w:r>
      <w:r w:rsidR="00465D42" w:rsidRPr="001811D6">
        <w:t xml:space="preserve"> et assouplit dans le même temps le cadre réglementaire interne à l’administration fédérale pour encourager le recours plus fréquent aux actions positives fédérales.</w:t>
      </w:r>
      <w:r w:rsidR="00744488" w:rsidRPr="001811D6">
        <w:t xml:space="preserve"> </w:t>
      </w:r>
      <w:r w:rsidR="000C0BC4" w:rsidRPr="001811D6">
        <w:t>Les encourager sur le terrain et fournir des opportunités concrètes d’emploi s’inscrit dans la droite ligne de la recommandation numéro 1 de la CIPH dans son rapport 2024</w:t>
      </w:r>
      <w:r w:rsidR="00613281" w:rsidRPr="001811D6">
        <w:t>, qui promeut d’organiser en parallèle des stages, de la formation professionnelle et des opportunités d’emploi rémunéré</w:t>
      </w:r>
      <w:r w:rsidR="000C0BC4" w:rsidRPr="001811D6">
        <w:t>.</w:t>
      </w:r>
    </w:p>
    <w:p w14:paraId="409711E1" w14:textId="356B6572" w:rsidR="0069551D" w:rsidRPr="001811D6" w:rsidRDefault="0069551D" w:rsidP="00EF60B5">
      <w:r w:rsidRPr="001811D6">
        <w:t xml:space="preserve">Dans cette optique, la commission recommande d’adapter également l’article 3 </w:t>
      </w:r>
      <w:r w:rsidR="00245611" w:rsidRPr="001811D6">
        <w:t xml:space="preserve">§2 </w:t>
      </w:r>
      <w:r w:rsidR="00AB544D" w:rsidRPr="001811D6">
        <w:t xml:space="preserve">de l’AR de 2005 </w:t>
      </w:r>
      <w:r w:rsidR="00C85E11" w:rsidRPr="001811D6">
        <w:t xml:space="preserve">«  § 2. [Un service public qui n'atteint pas le pourcentage fixé au § 1er, alinéa 1er, est tenu </w:t>
      </w:r>
      <w:r w:rsidR="002D3538" w:rsidRPr="001811D6">
        <w:t>de […</w:t>
      </w:r>
      <w:r w:rsidR="002F7946" w:rsidRPr="001811D6">
        <w:t>]</w:t>
      </w:r>
      <w:r w:rsidR="002D3538" w:rsidRPr="001811D6">
        <w:t xml:space="preserve">» </w:t>
      </w:r>
      <w:r w:rsidR="002F7946" w:rsidRPr="001811D6">
        <w:t xml:space="preserve">pour y ajouter cette précision importante « est tenu d’appliquer les actions positives liées au handicap, à savoir organiser des sélections réservées aux personnes en situation de handicap </w:t>
      </w:r>
      <w:r w:rsidR="0084076A" w:rsidRPr="001811D6">
        <w:t xml:space="preserve">et </w:t>
      </w:r>
      <w:r w:rsidR="00ED647D" w:rsidRPr="001811D6">
        <w:t xml:space="preserve">appliquer </w:t>
      </w:r>
      <w:r w:rsidR="0084076A" w:rsidRPr="001811D6">
        <w:t xml:space="preserve">la priorité au recrutement ». </w:t>
      </w:r>
    </w:p>
    <w:p w14:paraId="48B4A882" w14:textId="77777777" w:rsidR="00A75B06" w:rsidRPr="001811D6" w:rsidRDefault="00A75B06" w:rsidP="00EF60B5"/>
    <w:p w14:paraId="10515D11" w14:textId="77777777" w:rsidR="00A75B06" w:rsidRPr="001811D6" w:rsidRDefault="00A75B06" w:rsidP="00EF60B5"/>
    <w:p w14:paraId="73FE8269" w14:textId="77777777" w:rsidR="00A75B06" w:rsidRPr="001811D6" w:rsidRDefault="00A75B06" w:rsidP="00EF60B5"/>
    <w:p w14:paraId="769F5C0C" w14:textId="77777777" w:rsidR="00A75B06" w:rsidRPr="001811D6" w:rsidRDefault="00A75B06" w:rsidP="00EF60B5"/>
    <w:p w14:paraId="58957979" w14:textId="77777777" w:rsidR="00A75B06" w:rsidRPr="001811D6" w:rsidRDefault="00A75B06" w:rsidP="00EF60B5"/>
    <w:p w14:paraId="0F577B6C" w14:textId="77777777" w:rsidR="00A75B06" w:rsidRPr="001811D6" w:rsidRDefault="00A75B06" w:rsidP="00EF60B5"/>
    <w:p w14:paraId="1DDADFB8" w14:textId="7CA5F55B" w:rsidR="00082DFF" w:rsidRPr="001811D6" w:rsidRDefault="00082DFF" w:rsidP="00082DFF">
      <w:pPr>
        <w:pStyle w:val="Titre2"/>
      </w:pPr>
      <w:bookmarkStart w:id="12" w:name="_Toc206057210"/>
      <w:r w:rsidRPr="001811D6">
        <w:lastRenderedPageBreak/>
        <w:t>Article 5, point 3°</w:t>
      </w:r>
      <w:r w:rsidR="0031507C" w:rsidRPr="001811D6">
        <w:t> </w:t>
      </w:r>
      <w:r w:rsidR="00F1633A">
        <w:t>monitorer</w:t>
      </w:r>
      <w:r w:rsidR="0031507C" w:rsidRPr="001811D6">
        <w:t xml:space="preserve"> les personnes physiques</w:t>
      </w:r>
      <w:bookmarkEnd w:id="12"/>
      <w:r w:rsidR="0031507C" w:rsidRPr="001811D6">
        <w:t xml:space="preserve"> </w:t>
      </w:r>
    </w:p>
    <w:p w14:paraId="699A8F37" w14:textId="6DDD7389" w:rsidR="00082DFF" w:rsidRPr="001811D6" w:rsidRDefault="00146F90" w:rsidP="00EF60B5">
      <w:r w:rsidRPr="001811D6">
        <w:t xml:space="preserve">La commission estime </w:t>
      </w:r>
      <w:r w:rsidR="00373C5B" w:rsidRPr="001811D6">
        <w:t xml:space="preserve">effectivement </w:t>
      </w:r>
      <w:r w:rsidRPr="001811D6">
        <w:t xml:space="preserve">utile de </w:t>
      </w:r>
      <w:r w:rsidRPr="001811D6">
        <w:rPr>
          <w:b/>
          <w:bCs/>
        </w:rPr>
        <w:t>comptabiliser les personnes physiques</w:t>
      </w:r>
      <w:r w:rsidRPr="001811D6">
        <w:t xml:space="preserve"> et </w:t>
      </w:r>
      <w:r w:rsidR="00373C5B" w:rsidRPr="001811D6">
        <w:t>de s’écarter du calcul basé sur</w:t>
      </w:r>
      <w:r w:rsidRPr="001811D6">
        <w:t xml:space="preserve"> les personnes exprimées en équivalent temps plein. Partir du temps plein comme norme peut en effet correspondre à un biais validiste inconscient</w:t>
      </w:r>
      <w:r w:rsidR="008857A0" w:rsidRPr="001811D6">
        <w:t xml:space="preserve">. </w:t>
      </w:r>
      <w:r w:rsidR="00FA6014" w:rsidRPr="001811D6">
        <w:t xml:space="preserve">Que la personne en situation de handicap choisisse un temps partiel </w:t>
      </w:r>
      <w:r w:rsidR="00D05659" w:rsidRPr="001811D6">
        <w:t xml:space="preserve">quelle qu’en soit la raison </w:t>
      </w:r>
      <w:r w:rsidR="00FA6014" w:rsidRPr="001811D6">
        <w:t xml:space="preserve">ou </w:t>
      </w:r>
      <w:r w:rsidR="003356D2" w:rsidRPr="001811D6">
        <w:t xml:space="preserve">qu’elle </w:t>
      </w:r>
      <w:r w:rsidR="00FA6014" w:rsidRPr="001811D6">
        <w:t xml:space="preserve">en ait besoin parce qu’il s’impose à elle, elle reste </w:t>
      </w:r>
      <w:r w:rsidR="00B73C3F" w:rsidRPr="001811D6">
        <w:t xml:space="preserve">en effet </w:t>
      </w:r>
      <w:r w:rsidR="00FA6014" w:rsidRPr="001811D6">
        <w:t xml:space="preserve">une personne à part entière </w:t>
      </w:r>
      <w:r w:rsidR="00410F55" w:rsidRPr="001811D6">
        <w:t>qui produit un travail, et elle est comptabiliser en tant que telle selon la phi</w:t>
      </w:r>
      <w:r w:rsidR="00237385" w:rsidRPr="001811D6">
        <w:t xml:space="preserve">losophie </w:t>
      </w:r>
      <w:r w:rsidR="008246AF" w:rsidRPr="001811D6">
        <w:t>de la Convention O.N.U. relative aux droits des personnes handicapées (C</w:t>
      </w:r>
      <w:r w:rsidR="00BC3112" w:rsidRPr="001811D6">
        <w:t>I</w:t>
      </w:r>
      <w:r w:rsidR="008246AF" w:rsidRPr="001811D6">
        <w:t>DPH</w:t>
      </w:r>
      <w:r w:rsidR="00BC3112" w:rsidRPr="001811D6">
        <w:rPr>
          <w:rStyle w:val="Appelnotedebasdep"/>
        </w:rPr>
        <w:footnoteReference w:id="9"/>
      </w:r>
      <w:r w:rsidR="008246AF" w:rsidRPr="001811D6">
        <w:t>)</w:t>
      </w:r>
      <w:r w:rsidR="002C58F6" w:rsidRPr="001811D6">
        <w:t xml:space="preserve">. </w:t>
      </w:r>
      <w:r w:rsidR="00324C6B" w:rsidRPr="001811D6">
        <w:t xml:space="preserve">Ce changement n’a pas pour vocation d’augmenter </w:t>
      </w:r>
      <w:r w:rsidR="00DA0CBF" w:rsidRPr="001811D6">
        <w:t xml:space="preserve">significativement </w:t>
      </w:r>
      <w:r w:rsidR="00324C6B" w:rsidRPr="001811D6">
        <w:t xml:space="preserve">le pourcentage CIPH, </w:t>
      </w:r>
      <w:r w:rsidR="0083314F" w:rsidRPr="001811D6">
        <w:t>il vise surtout à</w:t>
      </w:r>
      <w:r w:rsidR="00324C6B" w:rsidRPr="001811D6">
        <w:t xml:space="preserve"> respecter les choix et les besoins des membres du personnel en situation de handicap, </w:t>
      </w:r>
      <w:r w:rsidR="009A5969" w:rsidRPr="001811D6">
        <w:t>ainsi que leur personne.</w:t>
      </w:r>
      <w:r w:rsidR="00DA0CBF" w:rsidRPr="001811D6">
        <w:t xml:space="preserve"> Il permettra aussi d’inciter les employeurs à recruter </w:t>
      </w:r>
      <w:r w:rsidR="00E46E42" w:rsidRPr="001811D6">
        <w:t>c</w:t>
      </w:r>
      <w:r w:rsidR="00DA0CBF" w:rsidRPr="001811D6">
        <w:t>es personnes</w:t>
      </w:r>
      <w:r w:rsidR="00F13809" w:rsidRPr="001811D6">
        <w:t xml:space="preserve">. </w:t>
      </w:r>
      <w:r w:rsidR="002F313D" w:rsidRPr="001811D6">
        <w:t>Enfin dans une logique intersectionnelle et en application de la loi Gender Mainstreaming</w:t>
      </w:r>
      <w:r w:rsidR="00372B21" w:rsidRPr="001811D6">
        <w:rPr>
          <w:rStyle w:val="Appelnotedebasdep"/>
        </w:rPr>
        <w:footnoteReference w:id="10"/>
      </w:r>
      <w:r w:rsidR="00E7297A" w:rsidRPr="001811D6">
        <w:t xml:space="preserve">, </w:t>
      </w:r>
      <w:r w:rsidR="00843E9A" w:rsidRPr="001811D6">
        <w:t>il convient d’être conscient que le travail à temps partiel concerne plus fréquemment les femmes dans notre société</w:t>
      </w:r>
      <w:r w:rsidR="00843E9A" w:rsidRPr="001811D6">
        <w:rPr>
          <w:rStyle w:val="Appelnotedebasdep"/>
        </w:rPr>
        <w:footnoteReference w:id="11"/>
      </w:r>
      <w:r w:rsidR="00517D17" w:rsidRPr="001811D6">
        <w:t xml:space="preserve">, </w:t>
      </w:r>
      <w:r w:rsidR="00625851" w:rsidRPr="001811D6">
        <w:t xml:space="preserve">avec 40,5% de femmes travaillant à temps partiel et 12,8% d’hommes à temps partiel. </w:t>
      </w:r>
      <w:r w:rsidR="00796B2C" w:rsidRPr="001811D6">
        <w:t xml:space="preserve">Comptabiliser les personnes physiques et non les équivalent temps plein s’avère donc plus inclusif </w:t>
      </w:r>
      <w:r w:rsidR="002C27D3" w:rsidRPr="001811D6">
        <w:t xml:space="preserve">sur le plan du handicap, mais aussi sur le plan du genre. </w:t>
      </w:r>
    </w:p>
    <w:p w14:paraId="6408952A" w14:textId="5D2F6EFA" w:rsidR="007903CE" w:rsidRPr="001811D6" w:rsidRDefault="007903CE" w:rsidP="007903CE">
      <w:pPr>
        <w:pStyle w:val="Titre2"/>
      </w:pPr>
      <w:bookmarkStart w:id="13" w:name="_Toc206057211"/>
      <w:r w:rsidRPr="001811D6">
        <w:t xml:space="preserve">Article 5, point </w:t>
      </w:r>
      <w:r w:rsidR="00EA5A2A" w:rsidRPr="001811D6">
        <w:t>4</w:t>
      </w:r>
      <w:r w:rsidRPr="001811D6">
        <w:t>°</w:t>
      </w:r>
      <w:r w:rsidR="001B1143" w:rsidRPr="001811D6">
        <w:t xml:space="preserve"> ouverture à la formation professionnelle</w:t>
      </w:r>
      <w:bookmarkEnd w:id="13"/>
    </w:p>
    <w:p w14:paraId="767FE449" w14:textId="0FA7E444" w:rsidR="0012075F" w:rsidRPr="001811D6" w:rsidRDefault="00660C0B" w:rsidP="00660C0B">
      <w:r w:rsidRPr="001811D6">
        <w:t xml:space="preserve">Cette modification </w:t>
      </w:r>
      <w:r w:rsidR="0083575B" w:rsidRPr="001811D6">
        <w:t>ouvre</w:t>
      </w:r>
      <w:r w:rsidR="002F21A3" w:rsidRPr="001811D6">
        <w:t xml:space="preserve"> la</w:t>
      </w:r>
      <w:r w:rsidR="0083575B" w:rsidRPr="001811D6">
        <w:t xml:space="preserve"> possibilité </w:t>
      </w:r>
      <w:r w:rsidR="005B4DE7" w:rsidRPr="001811D6">
        <w:t xml:space="preserve">pour les organisations fédérales </w:t>
      </w:r>
      <w:r w:rsidR="0083575B" w:rsidRPr="001811D6">
        <w:t>d</w:t>
      </w:r>
      <w:r w:rsidR="002F21A3" w:rsidRPr="001811D6">
        <w:t xml:space="preserve">e </w:t>
      </w:r>
      <w:r w:rsidR="0083575B" w:rsidRPr="001811D6">
        <w:t>recour</w:t>
      </w:r>
      <w:r w:rsidR="005B4DE7" w:rsidRPr="001811D6">
        <w:t>ir</w:t>
      </w:r>
      <w:r w:rsidR="0083575B" w:rsidRPr="001811D6">
        <w:t xml:space="preserve"> à</w:t>
      </w:r>
      <w:r w:rsidR="005B4DE7" w:rsidRPr="001811D6">
        <w:t xml:space="preserve"> davantage de</w:t>
      </w:r>
      <w:r w:rsidR="0083575B" w:rsidRPr="001811D6">
        <w:t xml:space="preserve"> </w:t>
      </w:r>
      <w:r w:rsidR="005B4DE7" w:rsidRPr="001811D6">
        <w:t>formules de</w:t>
      </w:r>
      <w:r w:rsidR="0083575B" w:rsidRPr="001811D6">
        <w:t xml:space="preserve"> </w:t>
      </w:r>
      <w:r w:rsidR="0083575B" w:rsidRPr="001811D6">
        <w:rPr>
          <w:b/>
          <w:bCs/>
        </w:rPr>
        <w:t>formation professionnelle régionale</w:t>
      </w:r>
      <w:r w:rsidR="0083575B" w:rsidRPr="001811D6">
        <w:t xml:space="preserve"> pour les personnes en situation de handicap. </w:t>
      </w:r>
      <w:r w:rsidR="008534C5" w:rsidRPr="001811D6">
        <w:t xml:space="preserve">Cet assouplissement permet d’envisager des formes variées de formation professionnelle dont les modalités sont déterminées par les entités fédérées </w:t>
      </w:r>
      <w:r w:rsidR="00053156" w:rsidRPr="001811D6">
        <w:t xml:space="preserve">vu leurs compétences </w:t>
      </w:r>
      <w:r w:rsidR="008534C5" w:rsidRPr="001811D6">
        <w:t xml:space="preserve">(voir </w:t>
      </w:r>
      <w:r w:rsidR="007B63A9" w:rsidRPr="001811D6">
        <w:t>l’analyse réalisée et publiée par le SPF BOSA à ce sujet</w:t>
      </w:r>
      <w:r w:rsidR="005F449C" w:rsidRPr="001811D6">
        <w:rPr>
          <w:rStyle w:val="Appelnotedebasdep"/>
        </w:rPr>
        <w:footnoteReference w:id="12"/>
      </w:r>
      <w:r w:rsidR="007B63A9" w:rsidRPr="001811D6">
        <w:t xml:space="preserve"> pour éclairer et aider les employeurs). </w:t>
      </w:r>
      <w:r w:rsidR="0025484E" w:rsidRPr="001811D6">
        <w:t xml:space="preserve">La formulation relative à la formation professionnelle tel qu’elle existe dans l’arrêté royal actuellement en vigueur est en effet trop restrictive </w:t>
      </w:r>
      <w:r w:rsidR="0062709F" w:rsidRPr="001811D6">
        <w:t>car elle</w:t>
      </w:r>
      <w:r w:rsidR="0025484E" w:rsidRPr="001811D6">
        <w:t xml:space="preserve"> ne tient pas suffisamment compte des </w:t>
      </w:r>
      <w:r w:rsidR="00F850BE" w:rsidRPr="001811D6">
        <w:t>différentes possibilités régionales</w:t>
      </w:r>
      <w:r w:rsidR="0062709F" w:rsidRPr="001811D6">
        <w:t xml:space="preserve">. </w:t>
      </w:r>
      <w:r w:rsidR="00F850BE" w:rsidRPr="001811D6">
        <w:t xml:space="preserve">L’amélioration proposée </w:t>
      </w:r>
      <w:r w:rsidR="00D67782" w:rsidRPr="001811D6">
        <w:t>aura</w:t>
      </w:r>
      <w:r w:rsidR="00D41E6E" w:rsidRPr="001811D6">
        <w:t xml:space="preserve"> différents avantages. </w:t>
      </w:r>
      <w:r w:rsidR="00587ADE" w:rsidRPr="001811D6">
        <w:t>Elle permet</w:t>
      </w:r>
      <w:r w:rsidR="00D67782" w:rsidRPr="001811D6">
        <w:t>tra</w:t>
      </w:r>
      <w:r w:rsidR="00587ADE" w:rsidRPr="001811D6">
        <w:t xml:space="preserve"> une meilleure coopération interfédérale pour contribuer à l’employabilité et à l’activation des personnes </w:t>
      </w:r>
      <w:r w:rsidR="0015184B">
        <w:t xml:space="preserve">en situation de handicap </w:t>
      </w:r>
      <w:r w:rsidR="00587ADE" w:rsidRPr="001811D6">
        <w:t>sur le marché du travail</w:t>
      </w:r>
      <w:r w:rsidR="00F66624" w:rsidRPr="001811D6">
        <w:t xml:space="preserve">, sans nécessairement </w:t>
      </w:r>
      <w:r w:rsidR="00C901FA">
        <w:t xml:space="preserve">entraîner </w:t>
      </w:r>
      <w:r w:rsidR="00F66624" w:rsidRPr="001811D6">
        <w:t>un recrutement</w:t>
      </w:r>
      <w:r w:rsidR="00C901FA">
        <w:t xml:space="preserve"> systématique</w:t>
      </w:r>
      <w:r w:rsidR="00F66624" w:rsidRPr="001811D6">
        <w:t xml:space="preserve"> dans le secteur public</w:t>
      </w:r>
      <w:r w:rsidR="00587ADE" w:rsidRPr="001811D6">
        <w:t xml:space="preserve">. </w:t>
      </w:r>
      <w:r w:rsidR="00491D96" w:rsidRPr="001811D6">
        <w:t>Elle permet</w:t>
      </w:r>
      <w:r w:rsidR="00DC256A" w:rsidRPr="001811D6">
        <w:t>tra</w:t>
      </w:r>
      <w:r w:rsidR="00491D96" w:rsidRPr="001811D6">
        <w:t xml:space="preserve"> d</w:t>
      </w:r>
      <w:r w:rsidR="00DC256A" w:rsidRPr="001811D6">
        <w:t>avantage d’</w:t>
      </w:r>
      <w:r w:rsidR="00491D96" w:rsidRPr="001811D6">
        <w:t>opportunités concrète</w:t>
      </w:r>
      <w:r w:rsidR="00DC256A" w:rsidRPr="001811D6">
        <w:t>s</w:t>
      </w:r>
      <w:r w:rsidR="00491D96" w:rsidRPr="001811D6">
        <w:t xml:space="preserve"> d’apprentissage et de découverte </w:t>
      </w:r>
      <w:r w:rsidR="00DC256A" w:rsidRPr="001811D6">
        <w:t>d’un lie</w:t>
      </w:r>
      <w:r w:rsidR="006379B6" w:rsidRPr="001811D6">
        <w:t>u</w:t>
      </w:r>
      <w:r w:rsidR="00DC256A" w:rsidRPr="001811D6">
        <w:t xml:space="preserve"> de travail</w:t>
      </w:r>
      <w:r w:rsidR="00491D96" w:rsidRPr="001811D6">
        <w:t>, contribuant ainsi à l’employeur branding</w:t>
      </w:r>
      <w:r w:rsidR="00DC256A" w:rsidRPr="001811D6">
        <w:t xml:space="preserve"> des </w:t>
      </w:r>
      <w:r w:rsidR="00DC256A" w:rsidRPr="001811D6">
        <w:lastRenderedPageBreak/>
        <w:t>administrations</w:t>
      </w:r>
      <w:r w:rsidR="00491D96" w:rsidRPr="001811D6">
        <w:t xml:space="preserve">. </w:t>
      </w:r>
      <w:r w:rsidR="00971685" w:rsidRPr="001811D6">
        <w:t>C</w:t>
      </w:r>
      <w:r w:rsidR="00EE1585" w:rsidRPr="001811D6">
        <w:t xml:space="preserve">omptabiliser </w:t>
      </w:r>
      <w:r w:rsidR="004C2EB9" w:rsidRPr="001811D6">
        <w:t xml:space="preserve">la formation professionnelle pour les personnes </w:t>
      </w:r>
      <w:r w:rsidR="00EE1585" w:rsidRPr="001811D6">
        <w:t>en situation de handicap dans les statistiques</w:t>
      </w:r>
      <w:r w:rsidR="00971685" w:rsidRPr="001811D6">
        <w:t xml:space="preserve"> </w:t>
      </w:r>
      <w:r w:rsidR="00EE1585" w:rsidRPr="001811D6">
        <w:t xml:space="preserve">permet aussi à tous les employeurs de mener des actions concrètes, même ceux n’ayant aucune marge pour recruter dans un contexte budgétaire </w:t>
      </w:r>
      <w:r w:rsidR="004C2EB9" w:rsidRPr="001811D6">
        <w:t>restreint</w:t>
      </w:r>
      <w:r w:rsidR="00EE1585" w:rsidRPr="001811D6">
        <w:t xml:space="preserve">. </w:t>
      </w:r>
      <w:r w:rsidR="00925A3E" w:rsidRPr="001811D6">
        <w:t xml:space="preserve">La commission indique que pour opérationnaliser cette comptabilisation, il faudra que l’employeur exprime au pro rata le nombre de personnes physiques accueillies dans leur organisation par cette formule cette année-là (exemple si une personne physique participe à un CAP de 6 mois en 2024 dans un SPF, il faudra </w:t>
      </w:r>
      <w:r w:rsidR="009B0AA1" w:rsidRPr="001811D6">
        <w:t>la comptabiliser pour 0.5. C’est inhérent aux mécanismes régionaux</w:t>
      </w:r>
      <w:r w:rsidR="00D4718C" w:rsidRPr="001811D6">
        <w:t xml:space="preserve"> de par la nature même des conventions individuelles et justifie cette petite différence </w:t>
      </w:r>
      <w:r w:rsidR="00202683" w:rsidRPr="001811D6">
        <w:t xml:space="preserve">par rapport à la </w:t>
      </w:r>
      <w:r w:rsidR="00D4718C" w:rsidRPr="001811D6">
        <w:t>comptabilisation du personnel comme personne physique</w:t>
      </w:r>
      <w:r w:rsidR="00925A3E" w:rsidRPr="001811D6">
        <w:t>).</w:t>
      </w:r>
    </w:p>
    <w:p w14:paraId="38F81150" w14:textId="2F3561CB" w:rsidR="00660C0B" w:rsidRPr="001811D6" w:rsidRDefault="00971685" w:rsidP="00660C0B">
      <w:r w:rsidRPr="001811D6">
        <w:t xml:space="preserve">L’idée de cet article est en phase avec la </w:t>
      </w:r>
      <w:r w:rsidR="00660C0B" w:rsidRPr="001811D6">
        <w:t>recommandation numéro 1 de la CIPH dans son rapport 2024</w:t>
      </w:r>
      <w:r w:rsidR="004C2EB9" w:rsidRPr="001811D6">
        <w:t>, évoquée plus haut</w:t>
      </w:r>
      <w:r w:rsidR="00660C0B" w:rsidRPr="001811D6">
        <w:t>.</w:t>
      </w:r>
      <w:r w:rsidR="00332547" w:rsidRPr="001811D6">
        <w:t xml:space="preserve"> C’est aussi une simplification administrative pour les employeurs </w:t>
      </w:r>
      <w:r w:rsidR="00533D87" w:rsidRPr="001811D6">
        <w:t>par rapport à la disposition actuelle, afin d’encourage</w:t>
      </w:r>
      <w:r w:rsidR="00B3283C" w:rsidRPr="001811D6">
        <w:t xml:space="preserve"> l’organisation</w:t>
      </w:r>
      <w:r w:rsidR="00332547" w:rsidRPr="001811D6">
        <w:t xml:space="preserve"> de </w:t>
      </w:r>
      <w:r w:rsidR="00533D87" w:rsidRPr="001811D6">
        <w:t xml:space="preserve">ces </w:t>
      </w:r>
      <w:r w:rsidR="00332547" w:rsidRPr="001811D6">
        <w:t xml:space="preserve">« stages » </w:t>
      </w:r>
      <w:r w:rsidR="00B3283C" w:rsidRPr="001811D6">
        <w:t xml:space="preserve">correspondant à la formation professionnelle </w:t>
      </w:r>
      <w:r w:rsidR="00533D87" w:rsidRPr="001811D6">
        <w:t xml:space="preserve">et </w:t>
      </w:r>
      <w:r w:rsidR="00B3283C" w:rsidRPr="001811D6">
        <w:t>bénéficiant à des personnes en situation de handicap</w:t>
      </w:r>
      <w:r w:rsidR="008C4FCE" w:rsidRPr="001811D6">
        <w:t xml:space="preserve"> en recherche professionnelle</w:t>
      </w:r>
      <w:r w:rsidR="00B3283C" w:rsidRPr="001811D6">
        <w:t xml:space="preserve">. </w:t>
      </w:r>
    </w:p>
    <w:p w14:paraId="49CDC9CF" w14:textId="4E803F04" w:rsidR="0003342C" w:rsidRPr="001811D6" w:rsidRDefault="0003342C" w:rsidP="0003342C">
      <w:pPr>
        <w:pStyle w:val="Titre2"/>
      </w:pPr>
      <w:bookmarkStart w:id="14" w:name="_Toc206057212"/>
      <w:r w:rsidRPr="001811D6">
        <w:t>Article 5 point 8</w:t>
      </w:r>
      <w:r w:rsidR="004368C5" w:rsidRPr="001811D6">
        <w:t xml:space="preserve"> clarification</w:t>
      </w:r>
      <w:bookmarkEnd w:id="14"/>
    </w:p>
    <w:p w14:paraId="5B86BBF7" w14:textId="67601F19" w:rsidR="00EF6510" w:rsidRPr="001811D6" w:rsidRDefault="00072086" w:rsidP="00EF6510">
      <w:pPr>
        <w:rPr>
          <w:bCs/>
        </w:rPr>
      </w:pPr>
      <w:r w:rsidRPr="001811D6">
        <w:t>La commission s’interroge sur le sens de cette abrogation</w:t>
      </w:r>
      <w:r w:rsidR="00EF6510" w:rsidRPr="001811D6">
        <w:t xml:space="preserve"> « 8. </w:t>
      </w:r>
      <w:r w:rsidR="00EF6510" w:rsidRPr="001811D6">
        <w:rPr>
          <w:bCs/>
        </w:rPr>
        <w:t>l’ancien alinéa 7, devenant l’alinéa 8, est abrogé</w:t>
      </w:r>
      <w:r w:rsidR="002E648D" w:rsidRPr="001811D6">
        <w:rPr>
          <w:bCs/>
        </w:rPr>
        <w:t xml:space="preserve"> ». Elle demande </w:t>
      </w:r>
      <w:r w:rsidR="00292CA7" w:rsidRPr="001811D6">
        <w:rPr>
          <w:bCs/>
        </w:rPr>
        <w:t xml:space="preserve">en tout cas </w:t>
      </w:r>
      <w:r w:rsidR="002E648D" w:rsidRPr="001811D6">
        <w:rPr>
          <w:bCs/>
        </w:rPr>
        <w:t>que les mécanismes de recours aux entreprise</w:t>
      </w:r>
      <w:r w:rsidR="00292CA7" w:rsidRPr="001811D6">
        <w:rPr>
          <w:bCs/>
        </w:rPr>
        <w:t>s</w:t>
      </w:r>
      <w:r w:rsidR="002E648D" w:rsidRPr="001811D6">
        <w:rPr>
          <w:bCs/>
        </w:rPr>
        <w:t xml:space="preserve"> de travail adapté et leur comptabilisation dans le monitoring CIPH soient préservés. </w:t>
      </w:r>
    </w:p>
    <w:p w14:paraId="4D8AF438" w14:textId="5AE5D449" w:rsidR="00072086" w:rsidRPr="001811D6" w:rsidRDefault="00072086" w:rsidP="00072086"/>
    <w:p w14:paraId="04D6FA58" w14:textId="20035E27" w:rsidR="00660C0B" w:rsidRPr="001811D6" w:rsidRDefault="00366886" w:rsidP="00E866EC">
      <w:pPr>
        <w:pStyle w:val="Titre2"/>
      </w:pPr>
      <w:bookmarkStart w:id="15" w:name="_Toc206057213"/>
      <w:r w:rsidRPr="001811D6">
        <w:t>Article 6</w:t>
      </w:r>
      <w:r w:rsidR="002C282D" w:rsidRPr="001811D6">
        <w:t xml:space="preserve"> plans d’actions et mesures</w:t>
      </w:r>
      <w:bookmarkEnd w:id="15"/>
    </w:p>
    <w:p w14:paraId="332A29A9" w14:textId="59E3A9A0" w:rsidR="00392052" w:rsidRPr="001811D6" w:rsidRDefault="00392052" w:rsidP="0004742A">
      <w:r w:rsidRPr="001811D6">
        <w:t xml:space="preserve">La commission demande d’adapter ici aussi la formulation française pour utiliser de façon cohérente l’expression ‘personne en situation de handicap’. L’expression néerlandaise « persoon met een handicap » convient. </w:t>
      </w:r>
    </w:p>
    <w:p w14:paraId="699099C0" w14:textId="402A55CB" w:rsidR="00F702B4" w:rsidRPr="001811D6" w:rsidRDefault="005254E7" w:rsidP="0004742A">
      <w:r w:rsidRPr="001811D6">
        <w:t xml:space="preserve">L’article 4 de l’AR du 6 octobre 2005 instaurant la CIPH et fixant ses missions prévoit déjà avec d’autres mots que les employeurs doivent transmettre un </w:t>
      </w:r>
      <w:r w:rsidRPr="001811D6">
        <w:rPr>
          <w:b/>
          <w:bCs/>
        </w:rPr>
        <w:t>plan d’action</w:t>
      </w:r>
      <w:r w:rsidRPr="001811D6">
        <w:t xml:space="preserve"> pour progresser vers les 3% quand </w:t>
      </w:r>
      <w:r w:rsidR="000C282F" w:rsidRPr="001811D6">
        <w:t>ils ne réalisent</w:t>
      </w:r>
      <w:r w:rsidRPr="001811D6">
        <w:t xml:space="preserve"> pas cet objectif </w:t>
      </w:r>
      <w:r w:rsidR="005A1CD0" w:rsidRPr="001811D6">
        <w:t>d’après</w:t>
      </w:r>
      <w:r w:rsidRPr="001811D6">
        <w:t xml:space="preserve"> les </w:t>
      </w:r>
      <w:r w:rsidR="006C643D" w:rsidRPr="001811D6">
        <w:t xml:space="preserve">dernières statistiques CIPH disponibles. </w:t>
      </w:r>
      <w:r w:rsidR="00A42E92" w:rsidRPr="001811D6">
        <w:t xml:space="preserve">La modification proposée reste dans le même esprit et </w:t>
      </w:r>
      <w:r w:rsidR="00E15367" w:rsidRPr="001811D6">
        <w:t xml:space="preserve">propose un cadre temporel plus précis. Elle donne une prérogative nouvelle à la ministre de la fonction publique, qui </w:t>
      </w:r>
      <w:r w:rsidR="008961E3" w:rsidRPr="001811D6">
        <w:t xml:space="preserve">peut </w:t>
      </w:r>
      <w:r w:rsidR="00672564" w:rsidRPr="001811D6">
        <w:t xml:space="preserve">le cas échéant </w:t>
      </w:r>
      <w:r w:rsidR="008961E3" w:rsidRPr="001811D6">
        <w:t>imposer l’organisation de sélections réservées aux personnes en situation de handicap</w:t>
      </w:r>
      <w:r w:rsidR="00672564" w:rsidRPr="001811D6">
        <w:t xml:space="preserve">, </w:t>
      </w:r>
      <w:r w:rsidR="008961E3" w:rsidRPr="001811D6">
        <w:t>sous réserve de disponibilités budgétaires dans l’organisation visée en matière de crédit de personnel</w:t>
      </w:r>
      <w:r w:rsidR="00672564" w:rsidRPr="001811D6">
        <w:t xml:space="preserve"> </w:t>
      </w:r>
      <w:r w:rsidR="00672564" w:rsidRPr="001811D6">
        <w:lastRenderedPageBreak/>
        <w:t>pour ce faire</w:t>
      </w:r>
      <w:r w:rsidR="00B45A8D" w:rsidRPr="001811D6">
        <w:t xml:space="preserve">. Dans certains cas, </w:t>
      </w:r>
      <w:r w:rsidR="00672564" w:rsidRPr="001811D6">
        <w:t>la ministre</w:t>
      </w:r>
      <w:r w:rsidR="00B45A8D" w:rsidRPr="001811D6">
        <w:t xml:space="preserve"> pourrait </w:t>
      </w:r>
      <w:r w:rsidR="00672564" w:rsidRPr="001811D6">
        <w:t xml:space="preserve">aussi </w:t>
      </w:r>
      <w:r w:rsidR="00B45A8D" w:rsidRPr="001811D6">
        <w:t xml:space="preserve">limiter des budgets ou </w:t>
      </w:r>
      <w:r w:rsidR="00E14BD2" w:rsidRPr="001811D6">
        <w:t>les réorienter vers la thématique du handicap</w:t>
      </w:r>
      <w:r w:rsidR="008961E3" w:rsidRPr="001811D6">
        <w:t>.</w:t>
      </w:r>
    </w:p>
    <w:p w14:paraId="0F0894F0" w14:textId="4BB05641" w:rsidR="0059736B" w:rsidRPr="001811D6" w:rsidRDefault="00861DBD" w:rsidP="0004742A">
      <w:r w:rsidRPr="001811D6">
        <w:t>La CIPH</w:t>
      </w:r>
      <w:r w:rsidR="00AA616A" w:rsidRPr="001811D6">
        <w:t xml:space="preserve"> </w:t>
      </w:r>
      <w:r w:rsidR="003860EB" w:rsidRPr="001811D6">
        <w:t>souhaite de façon générale un système plus performant pour réaliser les 3% et l’avenir dira si ces modalités y contribuent</w:t>
      </w:r>
      <w:r w:rsidR="00672564" w:rsidRPr="001811D6">
        <w:t>.</w:t>
      </w:r>
      <w:r w:rsidR="0059736B" w:rsidRPr="001811D6">
        <w:t xml:space="preserve"> </w:t>
      </w:r>
      <w:r w:rsidR="00672564" w:rsidRPr="001811D6">
        <w:t>E</w:t>
      </w:r>
      <w:r w:rsidR="0059736B" w:rsidRPr="001811D6">
        <w:t xml:space="preserve">lle est demandeuse de recevoir </w:t>
      </w:r>
      <w:r w:rsidR="005344EA" w:rsidRPr="001811D6">
        <w:t>sy</w:t>
      </w:r>
      <w:r w:rsidR="00CF66CE" w:rsidRPr="001811D6">
        <w:t>stématiquement un</w:t>
      </w:r>
      <w:r w:rsidR="0059736B" w:rsidRPr="001811D6">
        <w:t xml:space="preserve"> plan d’action relatif aux 3% pour les organisations </w:t>
      </w:r>
      <w:r w:rsidR="00CF66CE" w:rsidRPr="001811D6">
        <w:t>n’y parvenant pas encore</w:t>
      </w:r>
      <w:r w:rsidR="005344EA" w:rsidRPr="001811D6">
        <w:t>.</w:t>
      </w:r>
      <w:r w:rsidR="00CF66CE" w:rsidRPr="001811D6">
        <w:t xml:space="preserve"> Elle demande surtout que </w:t>
      </w:r>
      <w:r w:rsidR="00F702B4" w:rsidRPr="001811D6">
        <w:t>chaque</w:t>
      </w:r>
      <w:r w:rsidR="00CF66CE" w:rsidRPr="001811D6">
        <w:t xml:space="preserve"> plan </w:t>
      </w:r>
      <w:r w:rsidR="00F702B4" w:rsidRPr="001811D6">
        <w:t xml:space="preserve">d’action </w:t>
      </w:r>
      <w:r w:rsidR="00CF66CE" w:rsidRPr="001811D6">
        <w:t xml:space="preserve">soit </w:t>
      </w:r>
      <w:r w:rsidR="00A71D0E" w:rsidRPr="001811D6">
        <w:t xml:space="preserve">envoyé à son secrétariat à cette adresse </w:t>
      </w:r>
      <w:hyperlink r:id="rId13" w:history="1">
        <w:r w:rsidR="00A71D0E" w:rsidRPr="001811D6">
          <w:rPr>
            <w:rStyle w:val="Lienhypertexte"/>
          </w:rPr>
          <w:t>CIPH@bosa.fgov.be</w:t>
        </w:r>
      </w:hyperlink>
      <w:r w:rsidR="00A71D0E" w:rsidRPr="001811D6">
        <w:t>. Elle demande enfin que chaque plan parle en priorité des actions relatives aux 3 </w:t>
      </w:r>
      <w:r w:rsidR="00462277" w:rsidRPr="001811D6">
        <w:t xml:space="preserve">grands leviers à disposition des organisations : </w:t>
      </w:r>
      <w:r w:rsidR="00847625" w:rsidRPr="001811D6">
        <w:t xml:space="preserve">initiatives en matière d’actions positives, </w:t>
      </w:r>
      <w:r w:rsidR="00462277" w:rsidRPr="001811D6">
        <w:t>initiatives en matière d’accueil de personnes en situation de handicap dans le cadre de la formation professionnelle régionale</w:t>
      </w:r>
      <w:r w:rsidR="00847625" w:rsidRPr="001811D6">
        <w:t>,</w:t>
      </w:r>
      <w:r w:rsidR="00462277" w:rsidRPr="001811D6">
        <w:t xml:space="preserve"> </w:t>
      </w:r>
      <w:r w:rsidR="00847625" w:rsidRPr="001811D6">
        <w:t>achats auprès des entreprises de travail adapté</w:t>
      </w:r>
      <w:r w:rsidR="00847625" w:rsidRPr="001811D6">
        <w:rPr>
          <w:rStyle w:val="Appelnotedebasdep"/>
        </w:rPr>
        <w:footnoteReference w:id="13"/>
      </w:r>
      <w:r w:rsidR="00847625" w:rsidRPr="001811D6">
        <w:t xml:space="preserve">, </w:t>
      </w:r>
      <w:r w:rsidR="007D20B9">
        <w:t>et d’</w:t>
      </w:r>
      <w:r w:rsidR="00847625" w:rsidRPr="001811D6">
        <w:t>autres initiatives</w:t>
      </w:r>
      <w:r w:rsidR="007D20B9">
        <w:t xml:space="preserve"> éventuelles</w:t>
      </w:r>
      <w:r w:rsidR="00847625" w:rsidRPr="001811D6">
        <w:t>.</w:t>
      </w:r>
    </w:p>
    <w:p w14:paraId="13500EB3" w14:textId="02439A6E" w:rsidR="002D67EE" w:rsidRPr="001811D6" w:rsidRDefault="00903047" w:rsidP="0004742A">
      <w:r w:rsidRPr="001811D6">
        <w:t>Concernant le</w:t>
      </w:r>
      <w:r w:rsidR="0024369C" w:rsidRPr="001811D6">
        <w:t xml:space="preserve">s précisions de timing abordées dans la proposition, la CIPH s’interroge sur les mots « un an après son élaboration » dans le rapport au Roi. En effet, c’est la date de transmission d’un plan d’action à la CIPH qui doit faire foi, et non la date d’élaboration </w:t>
      </w:r>
      <w:r w:rsidR="00E44C6D" w:rsidRPr="001811D6">
        <w:t xml:space="preserve">d’un plan. </w:t>
      </w:r>
      <w:r w:rsidR="002D67EE" w:rsidRPr="001811D6">
        <w:t xml:space="preserve">L’arrêté royal parle lui de l’établissement « dans le mois qui suit ce constat » pour les actions d’action </w:t>
      </w:r>
      <w:r w:rsidR="009F18F9" w:rsidRPr="001811D6">
        <w:t xml:space="preserve">des employeurs fédéraux. Le « constat » correspond a priori </w:t>
      </w:r>
      <w:r w:rsidR="00E15C1D" w:rsidRPr="001811D6">
        <w:t>à</w:t>
      </w:r>
      <w:r w:rsidR="009F18F9" w:rsidRPr="001811D6">
        <w:t xml:space="preserve"> la publication du rapport annuel de la CIPH contenant les chiffres officiels. </w:t>
      </w:r>
    </w:p>
    <w:p w14:paraId="4C4EC4DD" w14:textId="4BEC36A1" w:rsidR="00DA29C8" w:rsidRPr="001811D6" w:rsidRDefault="00340072" w:rsidP="00DA29C8">
      <w:r w:rsidRPr="001811D6">
        <w:t xml:space="preserve">La commission s’interroge sur la forme juridique que prendrait les décisions ministérielles concernant les </w:t>
      </w:r>
      <w:r w:rsidRPr="001811D6">
        <w:rPr>
          <w:b/>
          <w:bCs/>
        </w:rPr>
        <w:t>actions correctives</w:t>
      </w:r>
      <w:r w:rsidRPr="001811D6">
        <w:t xml:space="preserve">. </w:t>
      </w:r>
      <w:r w:rsidR="00671871" w:rsidRPr="001811D6">
        <w:t xml:space="preserve">La CIPH s’interroge </w:t>
      </w:r>
      <w:r w:rsidR="0043457E" w:rsidRPr="001811D6">
        <w:t>également</w:t>
      </w:r>
      <w:r w:rsidR="00671871" w:rsidRPr="001811D6">
        <w:t xml:space="preserve"> sur la faisabilité </w:t>
      </w:r>
      <w:r w:rsidR="00E14BD2" w:rsidRPr="001811D6">
        <w:t xml:space="preserve">juridique et </w:t>
      </w:r>
      <w:r w:rsidR="00C64240" w:rsidRPr="001811D6">
        <w:t>sur le plan</w:t>
      </w:r>
      <w:r w:rsidR="00E14BD2" w:rsidRPr="001811D6">
        <w:t xml:space="preserve"> de la technique budgétaire </w:t>
      </w:r>
      <w:r w:rsidR="00671871" w:rsidRPr="001811D6">
        <w:t>des</w:t>
      </w:r>
      <w:r w:rsidR="00B45A8D" w:rsidRPr="001811D6">
        <w:t xml:space="preserve"> décisions </w:t>
      </w:r>
      <w:r w:rsidR="00E14BD2" w:rsidRPr="001811D6">
        <w:t>évoquées au niveau de la ministre de la fonction publique.</w:t>
      </w:r>
      <w:r w:rsidR="003E224C" w:rsidRPr="001811D6">
        <w:t xml:space="preserve"> Modifier ou réorienter des budgets en cours d’année budgétaire (calendrier) demande sans doute une intervention conjointe du ministre du budget, voire celle complémentaire du ministre compétent pour une organisation donnée.</w:t>
      </w:r>
      <w:r w:rsidR="00B85B9F" w:rsidRPr="001811D6">
        <w:t xml:space="preserve"> La CIPH verrait d’un meilleur œil qu’on dégage </w:t>
      </w:r>
      <w:r w:rsidR="00454932" w:rsidRPr="001811D6">
        <w:t xml:space="preserve">proactivement </w:t>
      </w:r>
      <w:r w:rsidR="00B85B9F" w:rsidRPr="001811D6">
        <w:t xml:space="preserve">des budgets pour </w:t>
      </w:r>
      <w:r w:rsidR="00454932" w:rsidRPr="001811D6">
        <w:t xml:space="preserve">mener chaque année </w:t>
      </w:r>
      <w:r w:rsidR="006B77D9" w:rsidRPr="001811D6">
        <w:t>un nombre donné de</w:t>
      </w:r>
      <w:r w:rsidR="00454932" w:rsidRPr="001811D6">
        <w:t xml:space="preserve"> sélections réservées, comme le font le Maroc</w:t>
      </w:r>
      <w:r w:rsidR="00F86C5A" w:rsidRPr="001811D6">
        <w:rPr>
          <w:rStyle w:val="Appelnotedebasdep"/>
        </w:rPr>
        <w:footnoteReference w:id="14"/>
      </w:r>
      <w:r w:rsidR="00454932" w:rsidRPr="001811D6">
        <w:t xml:space="preserve"> et la République Démocratique du Congo</w:t>
      </w:r>
      <w:r w:rsidR="008425EC" w:rsidRPr="001811D6">
        <w:rPr>
          <w:rStyle w:val="Appelnotedebasdep"/>
        </w:rPr>
        <w:footnoteReference w:id="15"/>
      </w:r>
      <w:r w:rsidR="006B77D9" w:rsidRPr="001811D6">
        <w:t xml:space="preserve"> avec un succès inspirant</w:t>
      </w:r>
      <w:r w:rsidR="00454932" w:rsidRPr="001811D6">
        <w:t xml:space="preserve">. </w:t>
      </w:r>
      <w:r w:rsidR="00FF543D" w:rsidRPr="001811D6">
        <w:t xml:space="preserve">Une approche planifiée et proactive permettrait d’avancer plus vite vers l’objectif qu’une approche réactive. </w:t>
      </w:r>
    </w:p>
    <w:p w14:paraId="79428F55" w14:textId="210F33FF" w:rsidR="001B4714" w:rsidRPr="001811D6" w:rsidRDefault="00565119" w:rsidP="00DA29C8">
      <w:r w:rsidRPr="001811D6">
        <w:t xml:space="preserve">Si le système graduel de sanctions et de mesure correctrices tel qu’il est proposé est mis en place, la CIPH </w:t>
      </w:r>
      <w:r w:rsidR="00636E6A" w:rsidRPr="001811D6">
        <w:t>demande à être tenue informée de</w:t>
      </w:r>
      <w:r w:rsidR="00FA4B45" w:rsidRPr="001811D6">
        <w:t>s toutes les</w:t>
      </w:r>
      <w:r w:rsidR="00636E6A" w:rsidRPr="001811D6">
        <w:t xml:space="preserve"> décisions </w:t>
      </w:r>
      <w:r w:rsidR="00FA4B45" w:rsidRPr="001811D6">
        <w:t xml:space="preserve">ministérielles </w:t>
      </w:r>
      <w:r w:rsidR="00636E6A" w:rsidRPr="001811D6">
        <w:t xml:space="preserve">en la matière, </w:t>
      </w:r>
      <w:r w:rsidR="0025616A" w:rsidRPr="001811D6">
        <w:t xml:space="preserve">pour pouvoir continuer à jouer son rôle réglementaire d’analyse et de conseil en ayant accès aux informations. </w:t>
      </w:r>
      <w:r w:rsidR="00795DF6" w:rsidRPr="001811D6">
        <w:t xml:space="preserve">Le lancement de sélections réservées en tant que mesure corrective décidée par la ministre </w:t>
      </w:r>
      <w:r w:rsidR="00723272" w:rsidRPr="001811D6">
        <w:t xml:space="preserve">rejoint d’une certaine façon la recommandation numéro 4 de la CIPH, </w:t>
      </w:r>
      <w:r w:rsidR="005A4366" w:rsidRPr="001811D6">
        <w:t xml:space="preserve">qui demande </w:t>
      </w:r>
      <w:r w:rsidR="005A4366" w:rsidRPr="001811D6">
        <w:lastRenderedPageBreak/>
        <w:t>d’organiser fréquemment des sélections réservées au groupe-cible</w:t>
      </w:r>
      <w:r w:rsidR="00B67505" w:rsidRPr="001811D6">
        <w:t xml:space="preserve"> en général</w:t>
      </w:r>
      <w:r w:rsidR="00126653" w:rsidRPr="001811D6">
        <w:t>.</w:t>
      </w:r>
      <w:r w:rsidR="00B67505" w:rsidRPr="001811D6">
        <w:t xml:space="preserve"> Ce levier permet de pourvoir un poste vacant et d’avancer avec certitude vers les 3%.</w:t>
      </w:r>
      <w:r w:rsidR="00126653" w:rsidRPr="001811D6">
        <w:t xml:space="preserve"> </w:t>
      </w:r>
      <w:r w:rsidR="0025616A" w:rsidRPr="001811D6">
        <w:t xml:space="preserve"> </w:t>
      </w:r>
    </w:p>
    <w:p w14:paraId="6BD97693" w14:textId="77777777" w:rsidR="007C59F5" w:rsidRPr="001811D6" w:rsidRDefault="007C59F5" w:rsidP="00FF6176"/>
    <w:p w14:paraId="3B8501FC" w14:textId="1B3AE39C" w:rsidR="002C5C7C" w:rsidRPr="001811D6" w:rsidRDefault="00C65194" w:rsidP="00C65194">
      <w:pPr>
        <w:pStyle w:val="Titre1"/>
      </w:pPr>
      <w:bookmarkStart w:id="16" w:name="_Toc206057214"/>
      <w:r w:rsidRPr="001811D6">
        <w:t>Conclusion</w:t>
      </w:r>
      <w:bookmarkEnd w:id="16"/>
    </w:p>
    <w:p w14:paraId="484621EA" w14:textId="52455CB2" w:rsidR="008F5E29" w:rsidRPr="001811D6" w:rsidRDefault="008F5E29" w:rsidP="008F5E29">
      <w:r w:rsidRPr="001811D6">
        <w:t xml:space="preserve">La CIPH remercie le gouvernement et en particulier la ministre de la fonction publique pour l’importance qu’ils accordent à l’inclusion des personnes sur le marché de l’emploi et </w:t>
      </w:r>
      <w:r w:rsidR="002837B5" w:rsidRPr="001811D6">
        <w:t xml:space="preserve">surtout </w:t>
      </w:r>
      <w:r w:rsidRPr="001811D6">
        <w:t xml:space="preserve">dans les administrations fédérales. </w:t>
      </w:r>
      <w:r w:rsidR="007136F6" w:rsidRPr="001811D6">
        <w:t xml:space="preserve">Elle salue la volonté politique ambitieuse en matière d’inclusion et souhaite </w:t>
      </w:r>
      <w:r w:rsidR="00356583" w:rsidRPr="001811D6">
        <w:t xml:space="preserve">sincèrement </w:t>
      </w:r>
      <w:r w:rsidR="007136F6" w:rsidRPr="001811D6">
        <w:t xml:space="preserve">qu’elle débouche sur </w:t>
      </w:r>
      <w:r w:rsidR="00356583" w:rsidRPr="001811D6">
        <w:t xml:space="preserve">un renversement de tendance et sur </w:t>
      </w:r>
      <w:r w:rsidR="000C2572" w:rsidRPr="001811D6">
        <w:t xml:space="preserve">des avancées mesurables dans les </w:t>
      </w:r>
      <w:r w:rsidR="00356583" w:rsidRPr="001811D6">
        <w:t xml:space="preserve">futures </w:t>
      </w:r>
      <w:r w:rsidR="000C2572" w:rsidRPr="001811D6">
        <w:t xml:space="preserve">statistiques CIPH. </w:t>
      </w:r>
    </w:p>
    <w:p w14:paraId="0EFB5C07" w14:textId="1F6776F0" w:rsidR="00C65194" w:rsidRPr="001811D6" w:rsidRDefault="00C65194" w:rsidP="00C65194">
      <w:pPr>
        <w:pStyle w:val="Titre1"/>
      </w:pPr>
      <w:bookmarkStart w:id="17" w:name="_Toc206057215"/>
      <w:r w:rsidRPr="001811D6">
        <w:t>Signature du président</w:t>
      </w:r>
      <w:bookmarkEnd w:id="17"/>
    </w:p>
    <w:p w14:paraId="55033348" w14:textId="77777777" w:rsidR="00C65194" w:rsidRPr="001811D6" w:rsidRDefault="00C65194" w:rsidP="00C65194"/>
    <w:sectPr w:rsidR="00C65194" w:rsidRPr="001811D6" w:rsidSect="003861A3">
      <w:headerReference w:type="default" r:id="rId14"/>
      <w:footerReference w:type="default" r:id="rId15"/>
      <w:headerReference w:type="first" r:id="rId16"/>
      <w:footerReference w:type="first" r:id="rId17"/>
      <w:endnotePr>
        <w:numFmt w:val="decimal"/>
      </w:endnotePr>
      <w:pgSz w:w="11906" w:h="16838"/>
      <w:pgMar w:top="1134" w:right="1134" w:bottom="1134"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8E98" w14:textId="77777777" w:rsidR="00DA0026" w:rsidRPr="00684D68" w:rsidRDefault="00DA0026" w:rsidP="007719B8">
      <w:pPr>
        <w:spacing w:after="0" w:line="240" w:lineRule="auto"/>
      </w:pPr>
      <w:r w:rsidRPr="00684D68">
        <w:separator/>
      </w:r>
    </w:p>
  </w:endnote>
  <w:endnote w:type="continuationSeparator" w:id="0">
    <w:p w14:paraId="147F55B2" w14:textId="77777777" w:rsidR="00DA0026" w:rsidRPr="00684D68" w:rsidRDefault="00DA0026" w:rsidP="007719B8">
      <w:pPr>
        <w:spacing w:after="0" w:line="240" w:lineRule="auto"/>
      </w:pPr>
      <w:r w:rsidRPr="00684D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Montserrat SemiBold">
    <w:charset w:val="00"/>
    <w:family w:val="auto"/>
    <w:pitch w:val="variable"/>
    <w:sig w:usb0="2000020F" w:usb1="00000003" w:usb2="00000000" w:usb3="00000000" w:csb0="00000197" w:csb1="00000000"/>
  </w:font>
  <w:font w:name="Times New Roman (Body CS)">
    <w:altName w:val="Times New Roman"/>
    <w:charset w:val="00"/>
    <w:family w:val="roman"/>
    <w:pitch w:val="default"/>
  </w:font>
  <w:font w:name="Open Sans Light">
    <w:charset w:val="00"/>
    <w:family w:val="swiss"/>
    <w:pitch w:val="variable"/>
    <w:sig w:usb0="E00002EF" w:usb1="4000205B" w:usb2="00000028" w:usb3="00000000" w:csb0="0000019F" w:csb1="00000000"/>
  </w:font>
  <w:font w:name="Open Sans (Body)">
    <w:altName w:val="Open Sans"/>
    <w:charset w:val="00"/>
    <w:family w:val="roman"/>
    <w:pitch w:val="default"/>
  </w:font>
  <w:font w:name="PECITA">
    <w:altName w:val="Yu Gothic"/>
    <w:panose1 w:val="00000000000000000000"/>
    <w:charset w:val="80"/>
    <w:family w:val="script"/>
    <w:notTrueType/>
    <w:pitch w:val="variable"/>
    <w:sig w:usb0="E540A6FF" w:usb1="5807FBFF" w:usb2="00128034" w:usb3="00000000" w:csb0="8002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5A8E" w14:textId="0A994932" w:rsidR="00E07757" w:rsidRPr="00684D68" w:rsidRDefault="00F87308" w:rsidP="008A014D">
    <w:pPr>
      <w:pStyle w:val="Pieddepage"/>
    </w:pPr>
    <w:r w:rsidRPr="00684D68">
      <w:t xml:space="preserve">   </w:t>
    </w:r>
    <w:fldSimple w:instr=" STYLEREF  TitrePrincipal  \* MERGEFORMAT ">
      <w:r w:rsidR="0031022E">
        <w:rPr>
          <w:noProof/>
        </w:rPr>
        <w:t>Avis sur la proposition de réforme de l’AR du 6 octobre 2005</w:t>
      </w:r>
    </w:fldSimple>
    <w:r w:rsidRPr="00684D68">
      <w:t xml:space="preserve"> </w:t>
    </w:r>
    <w:r w:rsidR="00E07757" w:rsidRPr="00684D68">
      <w:t xml:space="preserve">| </w:t>
    </w:r>
    <w:r w:rsidR="00E07757" w:rsidRPr="00684D68">
      <w:rPr>
        <w:rStyle w:val="lev"/>
      </w:rPr>
      <w:fldChar w:fldCharType="begin"/>
    </w:r>
    <w:r w:rsidR="00E07757" w:rsidRPr="00684D68">
      <w:rPr>
        <w:rStyle w:val="lev"/>
      </w:rPr>
      <w:instrText xml:space="preserve"> PAGE \* Arabic \* MERGEFORMAT </w:instrText>
    </w:r>
    <w:r w:rsidR="00E07757" w:rsidRPr="00684D68">
      <w:rPr>
        <w:rStyle w:val="lev"/>
      </w:rPr>
      <w:fldChar w:fldCharType="separate"/>
    </w:r>
    <w:r w:rsidR="00E07757" w:rsidRPr="00684D68">
      <w:rPr>
        <w:rStyle w:val="lev"/>
      </w:rPr>
      <w:t>2</w:t>
    </w:r>
    <w:r w:rsidR="00E07757" w:rsidRPr="00684D68">
      <w:rPr>
        <w:rStyle w:val="lev"/>
      </w:rPr>
      <w:fldChar w:fldCharType="end"/>
    </w:r>
    <w:r w:rsidR="00E07757" w:rsidRPr="00684D68">
      <w:t>/</w:t>
    </w:r>
    <w:fldSimple w:instr=" NUMPAGES  \* MERGEFORMAT ">
      <w:r w:rsidR="00E07757" w:rsidRPr="00684D68">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89A3" w14:textId="77777777" w:rsidR="00E07757" w:rsidRPr="00684D68" w:rsidRDefault="00E07757" w:rsidP="00B03809">
    <w:pPr>
      <w:pStyle w:val="Pieddepage"/>
    </w:pPr>
    <w:r w:rsidRPr="00684D68">
      <w:rPr>
        <w:noProof/>
      </w:rPr>
      <w:drawing>
        <wp:anchor distT="0" distB="0" distL="114300" distR="114300" simplePos="0" relativeHeight="251660288" behindDoc="0" locked="0" layoutInCell="1" allowOverlap="1" wp14:anchorId="79C0C1FE" wp14:editId="72DF34AB">
          <wp:simplePos x="0" y="0"/>
          <wp:positionH relativeFrom="column">
            <wp:posOffset>5652770</wp:posOffset>
          </wp:positionH>
          <wp:positionV relativeFrom="paragraph">
            <wp:posOffset>0</wp:posOffset>
          </wp:positionV>
          <wp:extent cx="460800" cy="331200"/>
          <wp:effectExtent l="0" t="0" r="0" b="0"/>
          <wp:wrapTopAndBottom/>
          <wp:docPr id="18" name="Graphic 18" descr="Logo de l’autorité fédéral be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ogo de l’autorité fédéral belg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60800" cy="33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5A79" w14:textId="77777777" w:rsidR="00DA0026" w:rsidRPr="00684D68" w:rsidRDefault="00DA0026" w:rsidP="007719B8">
      <w:pPr>
        <w:spacing w:after="0" w:line="240" w:lineRule="auto"/>
      </w:pPr>
      <w:r w:rsidRPr="00684D68">
        <w:separator/>
      </w:r>
    </w:p>
  </w:footnote>
  <w:footnote w:type="continuationSeparator" w:id="0">
    <w:p w14:paraId="453A3261" w14:textId="77777777" w:rsidR="00DA0026" w:rsidRPr="00684D68" w:rsidRDefault="00DA0026" w:rsidP="007719B8">
      <w:pPr>
        <w:spacing w:after="0" w:line="240" w:lineRule="auto"/>
      </w:pPr>
      <w:r w:rsidRPr="00684D68">
        <w:continuationSeparator/>
      </w:r>
    </w:p>
  </w:footnote>
  <w:footnote w:id="1">
    <w:p w14:paraId="2BD1EE2A" w14:textId="77777777" w:rsidR="00457F2D" w:rsidRDefault="00457F2D" w:rsidP="00457F2D">
      <w:pPr>
        <w:pStyle w:val="Notedebasdepage"/>
        <w:jc w:val="both"/>
        <w:rPr>
          <w:lang w:val="fr-FR"/>
        </w:rPr>
      </w:pPr>
      <w:r>
        <w:rPr>
          <w:rStyle w:val="Appelnotedebasdep"/>
        </w:rPr>
        <w:footnoteRef/>
      </w:r>
      <w:r>
        <w:t xml:space="preserve"> Texte intégral : </w:t>
      </w:r>
      <w:hyperlink r:id="rId1" w:history="1">
        <w:r>
          <w:rPr>
            <w:rStyle w:val="Lienhypertexte"/>
            <w:lang w:val="fr-FR"/>
          </w:rPr>
          <w:t>Loi du 27 décembre 2012. - Loi portant des dispositions diverses en matière d'accessibilité aux soins de santé</w:t>
        </w:r>
      </w:hyperlink>
    </w:p>
  </w:footnote>
  <w:footnote w:id="2">
    <w:p w14:paraId="2FAA8080" w14:textId="77777777" w:rsidR="00457F2D" w:rsidRDefault="00457F2D" w:rsidP="00457F2D">
      <w:pPr>
        <w:pStyle w:val="Notedebasdepage"/>
        <w:jc w:val="both"/>
        <w:rPr>
          <w:lang w:val="fr-FR"/>
        </w:rPr>
      </w:pPr>
      <w:r>
        <w:rPr>
          <w:rStyle w:val="Appelnotedebasdep"/>
        </w:rPr>
        <w:footnoteRef/>
      </w:r>
      <w:r>
        <w:t xml:space="preserve"> </w:t>
      </w:r>
      <w:r>
        <w:rPr>
          <w:lang w:val="fr-FR"/>
        </w:rPr>
        <w:t xml:space="preserve">Texte intégral : </w:t>
      </w:r>
      <w:hyperlink r:id="rId2" w:history="1">
        <w:r>
          <w:rPr>
            <w:rStyle w:val="Lienhypertexte"/>
            <w:lang w:val="fr-FR"/>
          </w:rPr>
          <w:t>Loi relative à l'assurance obligatoire soins de santé et indemnités coordonnée le 14 juillet 1994 :  mise à jour le 28.05.2025</w:t>
        </w:r>
      </w:hyperlink>
    </w:p>
  </w:footnote>
  <w:footnote w:id="3">
    <w:p w14:paraId="3B106DAA" w14:textId="77777777" w:rsidR="00457F2D" w:rsidRPr="001B2C13" w:rsidRDefault="00457F2D" w:rsidP="001B2C13">
      <w:pPr>
        <w:spacing w:after="0" w:line="0" w:lineRule="atLeast"/>
        <w:jc w:val="both"/>
        <w:rPr>
          <w:sz w:val="16"/>
          <w:szCs w:val="16"/>
          <w:lang w:val="fr-FR"/>
        </w:rPr>
      </w:pPr>
      <w:r w:rsidRPr="001B2C13">
        <w:rPr>
          <w:rStyle w:val="Appelnotedebasdep"/>
          <w:sz w:val="16"/>
          <w:szCs w:val="16"/>
        </w:rPr>
        <w:footnoteRef/>
      </w:r>
      <w:r w:rsidRPr="001B2C13">
        <w:rPr>
          <w:sz w:val="16"/>
          <w:szCs w:val="16"/>
        </w:rPr>
        <w:t xml:space="preserve"> </w:t>
      </w:r>
      <w:r w:rsidRPr="001B2C13">
        <w:rPr>
          <w:sz w:val="16"/>
          <w:szCs w:val="16"/>
          <w:lang w:val="fr-FR"/>
        </w:rPr>
        <w:t xml:space="preserve">Texte intégral : </w:t>
      </w:r>
      <w:hyperlink r:id="rId3" w:history="1">
        <w:r w:rsidRPr="001B2C13">
          <w:rPr>
            <w:rStyle w:val="Lienhypertexte"/>
            <w:sz w:val="16"/>
            <w:szCs w:val="16"/>
            <w:lang w:val="fr-FR"/>
          </w:rPr>
          <w:t>Arrêté royal du 13 décembre 2013 portant exécution de l'article 37vicies/1 de la loi relative à l'assurance obligatoire soins de santé et indemnités, coordonnée le 14 juillet 1994.</w:t>
        </w:r>
      </w:hyperlink>
    </w:p>
  </w:footnote>
  <w:footnote w:id="4">
    <w:p w14:paraId="58FDBAD5" w14:textId="77777777" w:rsidR="00CB5750" w:rsidRDefault="00CB5750" w:rsidP="00CB5750">
      <w:pPr>
        <w:pStyle w:val="Notedebasdepage"/>
      </w:pPr>
      <w:r>
        <w:rPr>
          <w:rStyle w:val="Appelnotedebasdep"/>
        </w:rPr>
        <w:footnoteRef/>
      </w:r>
      <w:r>
        <w:t xml:space="preserve"> Avis de la section Législation du Conseil d’Etat n° </w:t>
      </w:r>
      <w:hyperlink r:id="rId4" w:anchor="search=75.870%2F3" w:history="1">
        <w:r w:rsidRPr="00A123E9">
          <w:rPr>
            <w:rStyle w:val="Lienhypertexte"/>
          </w:rPr>
          <w:t>75870.pdf</w:t>
        </w:r>
      </w:hyperlink>
    </w:p>
  </w:footnote>
  <w:footnote w:id="5">
    <w:p w14:paraId="2C88F7FB" w14:textId="77777777" w:rsidR="0026199C" w:rsidRPr="0061169D" w:rsidRDefault="0026199C" w:rsidP="0026199C">
      <w:pPr>
        <w:pStyle w:val="Notedebasdepage"/>
        <w:rPr>
          <w:lang w:val="nl-BE"/>
        </w:rPr>
      </w:pPr>
      <w:r>
        <w:rPr>
          <w:rStyle w:val="Appelnotedebasdep"/>
        </w:rPr>
        <w:footnoteRef/>
      </w:r>
      <w:r w:rsidRPr="0061169D">
        <w:rPr>
          <w:lang w:val="nl-BE"/>
        </w:rPr>
        <w:t xml:space="preserve"> </w:t>
      </w:r>
      <w:hyperlink r:id="rId5" w:history="1">
        <w:r w:rsidRPr="0061169D">
          <w:rPr>
            <w:rStyle w:val="Lienhypertexte"/>
            <w:lang w:val="nl-BE"/>
          </w:rPr>
          <w:t>Personeelsleden met een handicap, inclusief chronische ziekte | Vlaanderen.be</w:t>
        </w:r>
      </w:hyperlink>
      <w:r w:rsidRPr="0061169D">
        <w:rPr>
          <w:lang w:val="nl-BE"/>
        </w:rPr>
        <w:t xml:space="preserve"> </w:t>
      </w:r>
    </w:p>
  </w:footnote>
  <w:footnote w:id="6">
    <w:p w14:paraId="667BC5E6" w14:textId="21E08D82" w:rsidR="005D2476" w:rsidRPr="006175BE" w:rsidRDefault="005D2476" w:rsidP="00495122">
      <w:pPr>
        <w:pStyle w:val="Notedebasdepage"/>
      </w:pPr>
      <w:r>
        <w:rPr>
          <w:rStyle w:val="Appelnotedebasdep"/>
        </w:rPr>
        <w:footnoteRef/>
      </w:r>
      <w:r w:rsidRPr="006175BE">
        <w:t xml:space="preserve"> </w:t>
      </w:r>
      <w:hyperlink r:id="rId6" w:history="1">
        <w:r w:rsidR="00495122" w:rsidRPr="0002614B">
          <w:rPr>
            <w:rStyle w:val="Lienhypertexte"/>
          </w:rPr>
          <w:t xml:space="preserve">Convention relative aux droits des personnes handicapées </w:t>
        </w:r>
      </w:hyperlink>
      <w:r w:rsidR="0002614B">
        <w:t xml:space="preserve"> </w:t>
      </w:r>
    </w:p>
  </w:footnote>
  <w:footnote w:id="7">
    <w:p w14:paraId="66F5BD9B" w14:textId="77777777" w:rsidR="003F35D0" w:rsidRPr="006175BE" w:rsidRDefault="003F35D0" w:rsidP="003F35D0">
      <w:pPr>
        <w:pStyle w:val="Notedebasdepage"/>
      </w:pPr>
      <w:r w:rsidRPr="00684D68">
        <w:rPr>
          <w:rStyle w:val="Appelnotedebasdep"/>
        </w:rPr>
        <w:footnoteRef/>
      </w:r>
      <w:r w:rsidRPr="006175BE">
        <w:t xml:space="preserve"> </w:t>
      </w:r>
      <w:hyperlink r:id="rId7" w:history="1">
        <w:r w:rsidRPr="006175BE">
          <w:rPr>
            <w:rStyle w:val="Lienhypertexte"/>
          </w:rPr>
          <w:t>Rapport CIPH 2024</w:t>
        </w:r>
      </w:hyperlink>
    </w:p>
  </w:footnote>
  <w:footnote w:id="8">
    <w:p w14:paraId="03E59601" w14:textId="31323A37" w:rsidR="00543727" w:rsidRDefault="00543727">
      <w:pPr>
        <w:pStyle w:val="Notedebasdepage"/>
      </w:pPr>
      <w:r>
        <w:rPr>
          <w:rStyle w:val="Appelnotedebasdep"/>
        </w:rPr>
        <w:footnoteRef/>
      </w:r>
      <w:r>
        <w:t xml:space="preserve"> </w:t>
      </w:r>
      <w:r w:rsidRPr="00543727">
        <w:t>Directive 2000/78/CE du Conseil du 27 novembre 2000 portant création d'un cadre général en faveur de l'égalité de traitement en matière d'emploi et de travail</w:t>
      </w:r>
      <w:r>
        <w:rPr>
          <w:b/>
          <w:bCs/>
        </w:rPr>
        <w:t xml:space="preserve"> </w:t>
      </w:r>
    </w:p>
  </w:footnote>
  <w:footnote w:id="9">
    <w:p w14:paraId="63A649A6" w14:textId="3737ACA2" w:rsidR="00BC3112" w:rsidRDefault="00BC3112">
      <w:pPr>
        <w:pStyle w:val="Notedebasdepage"/>
      </w:pPr>
      <w:r>
        <w:rPr>
          <w:rStyle w:val="Appelnotedebasdep"/>
        </w:rPr>
        <w:footnoteRef/>
      </w:r>
      <w:r>
        <w:t xml:space="preserve"> </w:t>
      </w:r>
      <w:hyperlink r:id="rId8" w:history="1">
        <w:r>
          <w:rPr>
            <w:rStyle w:val="Lienhypertexte"/>
          </w:rPr>
          <w:t>C</w:t>
        </w:r>
        <w:r w:rsidRPr="00BC3112">
          <w:rPr>
            <w:rStyle w:val="Lienhypertexte"/>
          </w:rPr>
          <w:t>onvention</w:t>
        </w:r>
      </w:hyperlink>
    </w:p>
  </w:footnote>
  <w:footnote w:id="10">
    <w:p w14:paraId="6D6C19E6" w14:textId="355CD478" w:rsidR="00372B21" w:rsidRDefault="00372B21">
      <w:pPr>
        <w:pStyle w:val="Notedebasdepage"/>
      </w:pPr>
      <w:r>
        <w:rPr>
          <w:rStyle w:val="Appelnotedebasdep"/>
        </w:rPr>
        <w:footnoteRef/>
      </w:r>
      <w:r>
        <w:t xml:space="preserve"> </w:t>
      </w:r>
      <w:hyperlink r:id="rId9" w:history="1">
        <w:r w:rsidRPr="00372B21">
          <w:rPr>
            <w:rStyle w:val="Lienhypertexte"/>
          </w:rPr>
          <w:t>La loi gender mainstreaming du 12 janvier 2007 | Institut pour l'égalité des femmes et des hommes</w:t>
        </w:r>
      </w:hyperlink>
      <w:r>
        <w:t xml:space="preserve"> </w:t>
      </w:r>
    </w:p>
  </w:footnote>
  <w:footnote w:id="11">
    <w:p w14:paraId="75871C7F" w14:textId="34E9E17B" w:rsidR="00843E9A" w:rsidRDefault="00843E9A">
      <w:pPr>
        <w:pStyle w:val="Notedebasdepage"/>
      </w:pPr>
      <w:r>
        <w:rPr>
          <w:rStyle w:val="Appelnotedebasdep"/>
        </w:rPr>
        <w:footnoteRef/>
      </w:r>
      <w:r>
        <w:t xml:space="preserve"> </w:t>
      </w:r>
      <w:hyperlink r:id="rId10" w:history="1">
        <w:r w:rsidRPr="00843E9A">
          <w:rPr>
            <w:rStyle w:val="Lienhypertexte"/>
          </w:rPr>
          <w:t>Le travail à temps partiel | Statbel</w:t>
        </w:r>
      </w:hyperlink>
      <w:r>
        <w:t xml:space="preserve"> </w:t>
      </w:r>
      <w:r w:rsidR="0043060B">
        <w:t>(2025</w:t>
      </w:r>
      <w:r w:rsidR="00517D17">
        <w:t>, chiffres 2024</w:t>
      </w:r>
      <w:r w:rsidR="0043060B">
        <w:t>)</w:t>
      </w:r>
    </w:p>
  </w:footnote>
  <w:footnote w:id="12">
    <w:p w14:paraId="432BB71D" w14:textId="7C3F07F1" w:rsidR="005F449C" w:rsidRDefault="005F449C">
      <w:pPr>
        <w:pStyle w:val="Notedebasdepage"/>
      </w:pPr>
      <w:r>
        <w:rPr>
          <w:rStyle w:val="Appelnotedebasdep"/>
        </w:rPr>
        <w:footnoteRef/>
      </w:r>
      <w:r>
        <w:t xml:space="preserve"> </w:t>
      </w:r>
      <w:hyperlink r:id="rId11" w:history="1">
        <w:r w:rsidRPr="005F449C">
          <w:rPr>
            <w:rStyle w:val="Lienhypertexte"/>
          </w:rPr>
          <w:t xml:space="preserve">Tableau </w:t>
        </w:r>
        <w:r w:rsidR="005470B1">
          <w:rPr>
            <w:rStyle w:val="Lienhypertexte"/>
          </w:rPr>
          <w:t>analytique</w:t>
        </w:r>
      </w:hyperlink>
      <w:r>
        <w:t xml:space="preserve"> </w:t>
      </w:r>
    </w:p>
  </w:footnote>
  <w:footnote w:id="13">
    <w:p w14:paraId="5A1D2686" w14:textId="7B47DA46" w:rsidR="00803CE9" w:rsidRPr="00684D68" w:rsidRDefault="00847625" w:rsidP="0031022E">
      <w:pPr>
        <w:spacing w:after="0" w:line="0" w:lineRule="atLeast"/>
        <w:rPr>
          <w:sz w:val="16"/>
          <w:szCs w:val="16"/>
        </w:rPr>
      </w:pPr>
      <w:r w:rsidRPr="00684D68">
        <w:rPr>
          <w:rStyle w:val="Appelnotedebasdep"/>
        </w:rPr>
        <w:footnoteRef/>
      </w:r>
      <w:r w:rsidRPr="00684D68">
        <w:t xml:space="preserve"> </w:t>
      </w:r>
      <w:r w:rsidRPr="00684D68">
        <w:rPr>
          <w:sz w:val="16"/>
          <w:szCs w:val="16"/>
        </w:rPr>
        <w:t xml:space="preserve">Concernant les commandes auprès des entreprises de travail adapté, </w:t>
      </w:r>
      <w:hyperlink r:id="rId12" w:history="1">
        <w:r w:rsidRPr="00684D68">
          <w:rPr>
            <w:rStyle w:val="Lienhypertexte"/>
            <w:sz w:val="16"/>
            <w:szCs w:val="16"/>
          </w:rPr>
          <w:t>l’arrêté ministériel</w:t>
        </w:r>
      </w:hyperlink>
      <w:r w:rsidR="00803CE9" w:rsidRPr="00684D68">
        <w:rPr>
          <w:sz w:val="16"/>
          <w:szCs w:val="16"/>
        </w:rPr>
        <w:t xml:space="preserve"> en vigueur</w:t>
      </w:r>
      <w:r w:rsidRPr="00684D68">
        <w:rPr>
          <w:sz w:val="16"/>
          <w:szCs w:val="16"/>
        </w:rPr>
        <w:t xml:space="preserve"> pourrait d’ailleurs être revu</w:t>
      </w:r>
      <w:r w:rsidR="0049470C" w:rsidRPr="00684D68">
        <w:rPr>
          <w:sz w:val="16"/>
          <w:szCs w:val="16"/>
        </w:rPr>
        <w:t xml:space="preserve"> par la ministre de la fonction publique,</w:t>
      </w:r>
      <w:r w:rsidR="00803CE9" w:rsidRPr="00684D68">
        <w:rPr>
          <w:sz w:val="16"/>
          <w:szCs w:val="16"/>
        </w:rPr>
        <w:t xml:space="preserve"> en complément de la réforme,</w:t>
      </w:r>
      <w:r w:rsidRPr="00684D68">
        <w:rPr>
          <w:sz w:val="16"/>
          <w:szCs w:val="16"/>
        </w:rPr>
        <w:t xml:space="preserve"> pour stimuler ces commandes et leur impact.</w:t>
      </w:r>
    </w:p>
    <w:p w14:paraId="1A849948" w14:textId="29AE7511" w:rsidR="00847625" w:rsidRPr="00684D68" w:rsidRDefault="00847625">
      <w:pPr>
        <w:pStyle w:val="Notedebasdepage"/>
      </w:pPr>
    </w:p>
  </w:footnote>
  <w:footnote w:id="14">
    <w:p w14:paraId="154AE548" w14:textId="7CA52063" w:rsidR="00F86C5A" w:rsidRPr="00684D68" w:rsidRDefault="00F86C5A">
      <w:pPr>
        <w:pStyle w:val="Notedebasdepage"/>
      </w:pPr>
      <w:r w:rsidRPr="00684D68">
        <w:rPr>
          <w:rStyle w:val="Appelnotedebasdep"/>
        </w:rPr>
        <w:footnoteRef/>
      </w:r>
      <w:r w:rsidRPr="00684D68">
        <w:t xml:space="preserve"> </w:t>
      </w:r>
      <w:hyperlink r:id="rId13" w:history="1">
        <w:r w:rsidRPr="00684D68">
          <w:rPr>
            <w:rStyle w:val="Lienhypertexte"/>
          </w:rPr>
          <w:t>Maroc – Telquel.ma</w:t>
        </w:r>
      </w:hyperlink>
      <w:r w:rsidR="007B2584" w:rsidRPr="00684D68">
        <w:t xml:space="preserve"> ; </w:t>
      </w:r>
      <w:hyperlink r:id="rId14" w:anchor="google_vignette" w:history="1">
        <w:r w:rsidR="007B2584" w:rsidRPr="00684D68">
          <w:rPr>
            <w:rStyle w:val="Lienhypertexte"/>
          </w:rPr>
          <w:t>Les concours unifiés portent le nombre des fonctionnaires en situation de handicap à 1.250 en 2024 - Le Matin.ma</w:t>
        </w:r>
      </w:hyperlink>
      <w:r w:rsidR="007B2584" w:rsidRPr="00684D68">
        <w:t xml:space="preserve"> </w:t>
      </w:r>
    </w:p>
  </w:footnote>
  <w:footnote w:id="15">
    <w:p w14:paraId="413E5CFA" w14:textId="298D19C5" w:rsidR="008425EC" w:rsidRDefault="008425EC">
      <w:pPr>
        <w:pStyle w:val="Notedebasdepage"/>
      </w:pPr>
      <w:r w:rsidRPr="00684D68">
        <w:rPr>
          <w:rStyle w:val="Appelnotedebasdep"/>
        </w:rPr>
        <w:footnoteRef/>
      </w:r>
      <w:r w:rsidRPr="00684D68">
        <w:t xml:space="preserve"> </w:t>
      </w:r>
      <w:hyperlink r:id="rId15" w:history="1">
        <w:r w:rsidRPr="00684D68">
          <w:rPr>
            <w:rStyle w:val="Lienhypertexte"/>
          </w:rPr>
          <w:t>RDC : 1 200 personnes en situation de handicap intègrent l’administration publique | Radio Okapi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D7E3" w14:textId="0418DDBE" w:rsidR="00E07757" w:rsidRPr="00684D68" w:rsidRDefault="007D20B9" w:rsidP="008A014D">
    <w:pPr>
      <w:pStyle w:val="En-tte"/>
    </w:pPr>
    <w:fldSimple w:instr=" STYLEREF &quot;1&quot; \* MERGEFORMAT ">
      <w:r w:rsidR="0031022E" w:rsidRPr="0031022E">
        <w:rPr>
          <w:b/>
          <w:bCs/>
          <w:noProof/>
        </w:rPr>
        <w:t>Conclusion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F6BD" w14:textId="77777777" w:rsidR="00E07757" w:rsidRPr="00684D68" w:rsidRDefault="00E07757">
    <w:pPr>
      <w:pStyle w:val="En-tte"/>
    </w:pPr>
    <w:r w:rsidRPr="00684D68">
      <w:rPr>
        <w:noProof/>
      </w:rPr>
      <w:drawing>
        <wp:anchor distT="0" distB="0" distL="114300" distR="114300" simplePos="0" relativeHeight="251659264" behindDoc="0" locked="0" layoutInCell="1" allowOverlap="1" wp14:anchorId="235F6295" wp14:editId="1D55A5A7">
          <wp:simplePos x="0" y="0"/>
          <wp:positionH relativeFrom="margin">
            <wp:posOffset>-252095</wp:posOffset>
          </wp:positionH>
          <wp:positionV relativeFrom="paragraph">
            <wp:posOffset>0</wp:posOffset>
          </wp:positionV>
          <wp:extent cx="3333600" cy="1123200"/>
          <wp:effectExtent l="0" t="0" r="0" b="0"/>
          <wp:wrapTopAndBottom/>
          <wp:docPr id="17" name="Graphic 17" descr="Logo ‘SPF Stratégie &amp; App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Logo ‘SPF Stratégie &amp; Appui’"/>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33600" cy="112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844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A6ED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F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DE3F1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C3CD1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A2A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AE3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09EC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00B7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CE6D2D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063528A"/>
    <w:multiLevelType w:val="hybridMultilevel"/>
    <w:tmpl w:val="F39AE5E8"/>
    <w:lvl w:ilvl="0" w:tplc="63788D4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63B4D"/>
    <w:multiLevelType w:val="hybridMultilevel"/>
    <w:tmpl w:val="14BA8CEE"/>
    <w:lvl w:ilvl="0" w:tplc="B0DA52E8">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207B5"/>
    <w:multiLevelType w:val="hybridMultilevel"/>
    <w:tmpl w:val="F6F0DE9E"/>
    <w:lvl w:ilvl="0" w:tplc="6B3A150E">
      <w:numFmt w:val="bullet"/>
      <w:lvlText w:val="-"/>
      <w:lvlJc w:val="left"/>
      <w:pPr>
        <w:ind w:left="720" w:hanging="360"/>
      </w:pPr>
      <w:rPr>
        <w:rFonts w:ascii="Open Sans" w:eastAsiaTheme="minorHAnsi" w:hAnsi="Open Sans" w:cs="Open 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A32B37"/>
    <w:multiLevelType w:val="hybridMultilevel"/>
    <w:tmpl w:val="1710460E"/>
    <w:lvl w:ilvl="0" w:tplc="94D8AF6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360280">
    <w:abstractNumId w:val="0"/>
  </w:num>
  <w:num w:numId="2" w16cid:durableId="1245995538">
    <w:abstractNumId w:val="1"/>
  </w:num>
  <w:num w:numId="3" w16cid:durableId="1978947027">
    <w:abstractNumId w:val="2"/>
  </w:num>
  <w:num w:numId="4" w16cid:durableId="1893809596">
    <w:abstractNumId w:val="3"/>
  </w:num>
  <w:num w:numId="5" w16cid:durableId="1462335787">
    <w:abstractNumId w:val="8"/>
  </w:num>
  <w:num w:numId="6" w16cid:durableId="952248127">
    <w:abstractNumId w:val="4"/>
  </w:num>
  <w:num w:numId="7" w16cid:durableId="611403923">
    <w:abstractNumId w:val="5"/>
  </w:num>
  <w:num w:numId="8" w16cid:durableId="619187495">
    <w:abstractNumId w:val="6"/>
  </w:num>
  <w:num w:numId="9" w16cid:durableId="646475337">
    <w:abstractNumId w:val="7"/>
  </w:num>
  <w:num w:numId="10" w16cid:durableId="430977691">
    <w:abstractNumId w:val="9"/>
  </w:num>
  <w:num w:numId="11" w16cid:durableId="976960462">
    <w:abstractNumId w:val="13"/>
  </w:num>
  <w:num w:numId="12" w16cid:durableId="1024938129">
    <w:abstractNumId w:val="10"/>
  </w:num>
  <w:num w:numId="13" w16cid:durableId="90707034">
    <w:abstractNumId w:val="11"/>
  </w:num>
  <w:num w:numId="14" w16cid:durableId="603730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BB21" w:allStyles="1" w:customStyles="0" w:latentStyles="0" w:stylesInUse="0" w:headingStyles="1" w:numberingStyles="0" w:tableStyles="0" w:directFormattingOnRuns="1" w:directFormattingOnParagraphs="1" w:directFormattingOnNumbering="0" w:directFormattingOnTables="1" w:clearFormatting="1" w:top3HeadingStyles="1" w:visibleStyles="0" w:alternateStyleNames="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26"/>
    <w:rsid w:val="000078A2"/>
    <w:rsid w:val="00011489"/>
    <w:rsid w:val="00025848"/>
    <w:rsid w:val="0002614B"/>
    <w:rsid w:val="00027417"/>
    <w:rsid w:val="00032A03"/>
    <w:rsid w:val="0003342C"/>
    <w:rsid w:val="00035FF1"/>
    <w:rsid w:val="00042E17"/>
    <w:rsid w:val="0004742A"/>
    <w:rsid w:val="00053156"/>
    <w:rsid w:val="00067D16"/>
    <w:rsid w:val="00072086"/>
    <w:rsid w:val="00074313"/>
    <w:rsid w:val="000758E7"/>
    <w:rsid w:val="000804A3"/>
    <w:rsid w:val="00082DFF"/>
    <w:rsid w:val="00083B22"/>
    <w:rsid w:val="00091551"/>
    <w:rsid w:val="000A17E4"/>
    <w:rsid w:val="000A46BD"/>
    <w:rsid w:val="000A74C2"/>
    <w:rsid w:val="000B5FB5"/>
    <w:rsid w:val="000C0BC4"/>
    <w:rsid w:val="000C2572"/>
    <w:rsid w:val="000C282F"/>
    <w:rsid w:val="000D2FDF"/>
    <w:rsid w:val="000D411C"/>
    <w:rsid w:val="000D49F0"/>
    <w:rsid w:val="000D7286"/>
    <w:rsid w:val="000E639C"/>
    <w:rsid w:val="000E67CE"/>
    <w:rsid w:val="000F110F"/>
    <w:rsid w:val="000F4A39"/>
    <w:rsid w:val="000F56B4"/>
    <w:rsid w:val="0010111C"/>
    <w:rsid w:val="00104B1C"/>
    <w:rsid w:val="00105482"/>
    <w:rsid w:val="00107286"/>
    <w:rsid w:val="0012075F"/>
    <w:rsid w:val="001245E9"/>
    <w:rsid w:val="00126469"/>
    <w:rsid w:val="00126653"/>
    <w:rsid w:val="00127411"/>
    <w:rsid w:val="00141617"/>
    <w:rsid w:val="00146F90"/>
    <w:rsid w:val="00147A58"/>
    <w:rsid w:val="0015184B"/>
    <w:rsid w:val="00154E5C"/>
    <w:rsid w:val="00156B08"/>
    <w:rsid w:val="00176AB8"/>
    <w:rsid w:val="001811D6"/>
    <w:rsid w:val="00190D88"/>
    <w:rsid w:val="001A4C81"/>
    <w:rsid w:val="001B1143"/>
    <w:rsid w:val="001B2C13"/>
    <w:rsid w:val="001B3751"/>
    <w:rsid w:val="001B4714"/>
    <w:rsid w:val="001B4851"/>
    <w:rsid w:val="001C0508"/>
    <w:rsid w:val="001C1B19"/>
    <w:rsid w:val="001C46E5"/>
    <w:rsid w:val="001C493E"/>
    <w:rsid w:val="001D2503"/>
    <w:rsid w:val="001D466E"/>
    <w:rsid w:val="001E07BB"/>
    <w:rsid w:val="001E6F80"/>
    <w:rsid w:val="00201858"/>
    <w:rsid w:val="00202683"/>
    <w:rsid w:val="002102A9"/>
    <w:rsid w:val="002106CB"/>
    <w:rsid w:val="002265E7"/>
    <w:rsid w:val="002272CA"/>
    <w:rsid w:val="00230CAA"/>
    <w:rsid w:val="00230DF0"/>
    <w:rsid w:val="00237385"/>
    <w:rsid w:val="00237AD2"/>
    <w:rsid w:val="00241541"/>
    <w:rsid w:val="0024369C"/>
    <w:rsid w:val="00245611"/>
    <w:rsid w:val="00245D15"/>
    <w:rsid w:val="00246E51"/>
    <w:rsid w:val="00247402"/>
    <w:rsid w:val="0025484E"/>
    <w:rsid w:val="0025616A"/>
    <w:rsid w:val="0026199C"/>
    <w:rsid w:val="002837B5"/>
    <w:rsid w:val="00290420"/>
    <w:rsid w:val="00291D00"/>
    <w:rsid w:val="00292CA7"/>
    <w:rsid w:val="002A009D"/>
    <w:rsid w:val="002B71B2"/>
    <w:rsid w:val="002B7F94"/>
    <w:rsid w:val="002C1F9D"/>
    <w:rsid w:val="002C27D3"/>
    <w:rsid w:val="002C282D"/>
    <w:rsid w:val="002C3C4D"/>
    <w:rsid w:val="002C52BB"/>
    <w:rsid w:val="002C58F6"/>
    <w:rsid w:val="002C5C7C"/>
    <w:rsid w:val="002D1CD2"/>
    <w:rsid w:val="002D3538"/>
    <w:rsid w:val="002D67EE"/>
    <w:rsid w:val="002E32FD"/>
    <w:rsid w:val="002E3D55"/>
    <w:rsid w:val="002E648D"/>
    <w:rsid w:val="002F16AC"/>
    <w:rsid w:val="002F21A3"/>
    <w:rsid w:val="002F277D"/>
    <w:rsid w:val="002F313D"/>
    <w:rsid w:val="002F5BB1"/>
    <w:rsid w:val="002F7946"/>
    <w:rsid w:val="00306628"/>
    <w:rsid w:val="0031022E"/>
    <w:rsid w:val="0031507C"/>
    <w:rsid w:val="0032237A"/>
    <w:rsid w:val="00324C6B"/>
    <w:rsid w:val="003250FC"/>
    <w:rsid w:val="00332547"/>
    <w:rsid w:val="00334CEF"/>
    <w:rsid w:val="003356D2"/>
    <w:rsid w:val="00340072"/>
    <w:rsid w:val="00343ED8"/>
    <w:rsid w:val="00346B84"/>
    <w:rsid w:val="00356583"/>
    <w:rsid w:val="00361E23"/>
    <w:rsid w:val="003634A1"/>
    <w:rsid w:val="00366886"/>
    <w:rsid w:val="00371CDE"/>
    <w:rsid w:val="0037213C"/>
    <w:rsid w:val="00372B21"/>
    <w:rsid w:val="00372C5A"/>
    <w:rsid w:val="00373236"/>
    <w:rsid w:val="00373C5B"/>
    <w:rsid w:val="00374117"/>
    <w:rsid w:val="003860EB"/>
    <w:rsid w:val="003861A3"/>
    <w:rsid w:val="003918CF"/>
    <w:rsid w:val="00392052"/>
    <w:rsid w:val="003927C1"/>
    <w:rsid w:val="003950FC"/>
    <w:rsid w:val="00397E83"/>
    <w:rsid w:val="003B6692"/>
    <w:rsid w:val="003C5E10"/>
    <w:rsid w:val="003C7C6B"/>
    <w:rsid w:val="003E0471"/>
    <w:rsid w:val="003E06CA"/>
    <w:rsid w:val="003E0AB6"/>
    <w:rsid w:val="003E224C"/>
    <w:rsid w:val="003E6101"/>
    <w:rsid w:val="003F24C5"/>
    <w:rsid w:val="003F35D0"/>
    <w:rsid w:val="003F3E52"/>
    <w:rsid w:val="00406F67"/>
    <w:rsid w:val="00410C26"/>
    <w:rsid w:val="00410F55"/>
    <w:rsid w:val="00414DB2"/>
    <w:rsid w:val="0043060B"/>
    <w:rsid w:val="00431034"/>
    <w:rsid w:val="0043457E"/>
    <w:rsid w:val="004368C5"/>
    <w:rsid w:val="004412D1"/>
    <w:rsid w:val="004440F9"/>
    <w:rsid w:val="00451277"/>
    <w:rsid w:val="00452293"/>
    <w:rsid w:val="00453A92"/>
    <w:rsid w:val="00454932"/>
    <w:rsid w:val="00454F86"/>
    <w:rsid w:val="004564FC"/>
    <w:rsid w:val="00457F2D"/>
    <w:rsid w:val="00462277"/>
    <w:rsid w:val="00465D42"/>
    <w:rsid w:val="004662EC"/>
    <w:rsid w:val="0046642E"/>
    <w:rsid w:val="00476DB7"/>
    <w:rsid w:val="00482432"/>
    <w:rsid w:val="004838BF"/>
    <w:rsid w:val="00486F95"/>
    <w:rsid w:val="00490362"/>
    <w:rsid w:val="00491D96"/>
    <w:rsid w:val="0049292B"/>
    <w:rsid w:val="0049470C"/>
    <w:rsid w:val="00495122"/>
    <w:rsid w:val="004957C2"/>
    <w:rsid w:val="00497F51"/>
    <w:rsid w:val="004B2A4D"/>
    <w:rsid w:val="004B4F63"/>
    <w:rsid w:val="004C0848"/>
    <w:rsid w:val="004C21C7"/>
    <w:rsid w:val="004C27D1"/>
    <w:rsid w:val="004C2EB9"/>
    <w:rsid w:val="004C3582"/>
    <w:rsid w:val="004C40DD"/>
    <w:rsid w:val="004D1676"/>
    <w:rsid w:val="004D5612"/>
    <w:rsid w:val="004D5860"/>
    <w:rsid w:val="004D60BA"/>
    <w:rsid w:val="004E5098"/>
    <w:rsid w:val="004F0366"/>
    <w:rsid w:val="004F39C6"/>
    <w:rsid w:val="004F7714"/>
    <w:rsid w:val="0050122F"/>
    <w:rsid w:val="00506E1D"/>
    <w:rsid w:val="005129C5"/>
    <w:rsid w:val="00516F6B"/>
    <w:rsid w:val="00517D17"/>
    <w:rsid w:val="005216E6"/>
    <w:rsid w:val="005254E7"/>
    <w:rsid w:val="00526F4E"/>
    <w:rsid w:val="00533231"/>
    <w:rsid w:val="00533D87"/>
    <w:rsid w:val="005344EA"/>
    <w:rsid w:val="00536E3A"/>
    <w:rsid w:val="00541BE5"/>
    <w:rsid w:val="00543727"/>
    <w:rsid w:val="00543C9A"/>
    <w:rsid w:val="00546504"/>
    <w:rsid w:val="005470B1"/>
    <w:rsid w:val="005551A3"/>
    <w:rsid w:val="00565119"/>
    <w:rsid w:val="005655CB"/>
    <w:rsid w:val="00570F0A"/>
    <w:rsid w:val="005760DE"/>
    <w:rsid w:val="00587ADE"/>
    <w:rsid w:val="00590879"/>
    <w:rsid w:val="0059736B"/>
    <w:rsid w:val="005A1CD0"/>
    <w:rsid w:val="005A32C9"/>
    <w:rsid w:val="005A4366"/>
    <w:rsid w:val="005B4BE3"/>
    <w:rsid w:val="005B4DE7"/>
    <w:rsid w:val="005B599A"/>
    <w:rsid w:val="005C0942"/>
    <w:rsid w:val="005C3C01"/>
    <w:rsid w:val="005D03AA"/>
    <w:rsid w:val="005D2476"/>
    <w:rsid w:val="005D558C"/>
    <w:rsid w:val="005E5492"/>
    <w:rsid w:val="005F2E85"/>
    <w:rsid w:val="005F449C"/>
    <w:rsid w:val="005F784D"/>
    <w:rsid w:val="00601FC8"/>
    <w:rsid w:val="0061169D"/>
    <w:rsid w:val="00613281"/>
    <w:rsid w:val="00614B09"/>
    <w:rsid w:val="00615CDA"/>
    <w:rsid w:val="006175BE"/>
    <w:rsid w:val="00620109"/>
    <w:rsid w:val="006205B1"/>
    <w:rsid w:val="00625851"/>
    <w:rsid w:val="00625CCB"/>
    <w:rsid w:val="0062709F"/>
    <w:rsid w:val="006307CA"/>
    <w:rsid w:val="00633EF4"/>
    <w:rsid w:val="00636E6A"/>
    <w:rsid w:val="006379B6"/>
    <w:rsid w:val="006457DC"/>
    <w:rsid w:val="00647894"/>
    <w:rsid w:val="0065746C"/>
    <w:rsid w:val="00660C0B"/>
    <w:rsid w:val="00665361"/>
    <w:rsid w:val="00670A89"/>
    <w:rsid w:val="00671871"/>
    <w:rsid w:val="00672564"/>
    <w:rsid w:val="00680AA1"/>
    <w:rsid w:val="006832ED"/>
    <w:rsid w:val="00684D68"/>
    <w:rsid w:val="00691069"/>
    <w:rsid w:val="00694779"/>
    <w:rsid w:val="0069551D"/>
    <w:rsid w:val="006B77D9"/>
    <w:rsid w:val="006C067E"/>
    <w:rsid w:val="006C643D"/>
    <w:rsid w:val="006D1711"/>
    <w:rsid w:val="006D7E0A"/>
    <w:rsid w:val="00706F1B"/>
    <w:rsid w:val="007136F6"/>
    <w:rsid w:val="00716A02"/>
    <w:rsid w:val="007202C3"/>
    <w:rsid w:val="00720B96"/>
    <w:rsid w:val="00723272"/>
    <w:rsid w:val="00723AD0"/>
    <w:rsid w:val="0073422C"/>
    <w:rsid w:val="00742ED1"/>
    <w:rsid w:val="00743DDB"/>
    <w:rsid w:val="00744488"/>
    <w:rsid w:val="0074563C"/>
    <w:rsid w:val="00746FC2"/>
    <w:rsid w:val="00753BE2"/>
    <w:rsid w:val="0076093D"/>
    <w:rsid w:val="007719B8"/>
    <w:rsid w:val="0077278D"/>
    <w:rsid w:val="00776AD3"/>
    <w:rsid w:val="00786F9F"/>
    <w:rsid w:val="007903CE"/>
    <w:rsid w:val="0079391B"/>
    <w:rsid w:val="00795DF6"/>
    <w:rsid w:val="00796B2C"/>
    <w:rsid w:val="007A57B7"/>
    <w:rsid w:val="007A7017"/>
    <w:rsid w:val="007B2584"/>
    <w:rsid w:val="007B63A9"/>
    <w:rsid w:val="007C1089"/>
    <w:rsid w:val="007C59F5"/>
    <w:rsid w:val="007D0727"/>
    <w:rsid w:val="007D20B9"/>
    <w:rsid w:val="007D69B8"/>
    <w:rsid w:val="007E4A2F"/>
    <w:rsid w:val="007F312D"/>
    <w:rsid w:val="00801077"/>
    <w:rsid w:val="00803CE9"/>
    <w:rsid w:val="008122C1"/>
    <w:rsid w:val="008246AF"/>
    <w:rsid w:val="0082706B"/>
    <w:rsid w:val="0083299E"/>
    <w:rsid w:val="0083314F"/>
    <w:rsid w:val="0083575B"/>
    <w:rsid w:val="008367F4"/>
    <w:rsid w:val="0084076A"/>
    <w:rsid w:val="008425EC"/>
    <w:rsid w:val="00843E9A"/>
    <w:rsid w:val="00847625"/>
    <w:rsid w:val="0085345D"/>
    <w:rsid w:val="008534C5"/>
    <w:rsid w:val="00861DBD"/>
    <w:rsid w:val="00867CD9"/>
    <w:rsid w:val="00870477"/>
    <w:rsid w:val="0087486C"/>
    <w:rsid w:val="008763F2"/>
    <w:rsid w:val="00877B04"/>
    <w:rsid w:val="00881984"/>
    <w:rsid w:val="008857A0"/>
    <w:rsid w:val="00885853"/>
    <w:rsid w:val="008961E3"/>
    <w:rsid w:val="00896EE0"/>
    <w:rsid w:val="008A014D"/>
    <w:rsid w:val="008A0F37"/>
    <w:rsid w:val="008A701F"/>
    <w:rsid w:val="008B3E7B"/>
    <w:rsid w:val="008B525F"/>
    <w:rsid w:val="008B58CC"/>
    <w:rsid w:val="008B7774"/>
    <w:rsid w:val="008C1337"/>
    <w:rsid w:val="008C351A"/>
    <w:rsid w:val="008C4FCE"/>
    <w:rsid w:val="008D01D0"/>
    <w:rsid w:val="008D5E95"/>
    <w:rsid w:val="008E0A75"/>
    <w:rsid w:val="008E4D7F"/>
    <w:rsid w:val="008F4B15"/>
    <w:rsid w:val="008F5E29"/>
    <w:rsid w:val="00901E64"/>
    <w:rsid w:val="00903047"/>
    <w:rsid w:val="00906FBC"/>
    <w:rsid w:val="00910CA0"/>
    <w:rsid w:val="00917FC2"/>
    <w:rsid w:val="00925A3E"/>
    <w:rsid w:val="00927DF7"/>
    <w:rsid w:val="00932D38"/>
    <w:rsid w:val="00950C88"/>
    <w:rsid w:val="00951254"/>
    <w:rsid w:val="00954CC2"/>
    <w:rsid w:val="00971685"/>
    <w:rsid w:val="009748CE"/>
    <w:rsid w:val="009976AE"/>
    <w:rsid w:val="009A46AE"/>
    <w:rsid w:val="009A5969"/>
    <w:rsid w:val="009A6F44"/>
    <w:rsid w:val="009B0AA1"/>
    <w:rsid w:val="009C3466"/>
    <w:rsid w:val="009C5AF8"/>
    <w:rsid w:val="009C75CE"/>
    <w:rsid w:val="009D25B9"/>
    <w:rsid w:val="009E2FD8"/>
    <w:rsid w:val="009E622F"/>
    <w:rsid w:val="009E62A1"/>
    <w:rsid w:val="009F15C9"/>
    <w:rsid w:val="009F18F9"/>
    <w:rsid w:val="009F5D8E"/>
    <w:rsid w:val="00A123E9"/>
    <w:rsid w:val="00A26600"/>
    <w:rsid w:val="00A26E46"/>
    <w:rsid w:val="00A31C55"/>
    <w:rsid w:val="00A42E92"/>
    <w:rsid w:val="00A47538"/>
    <w:rsid w:val="00A6012F"/>
    <w:rsid w:val="00A6176C"/>
    <w:rsid w:val="00A71D0E"/>
    <w:rsid w:val="00A75B06"/>
    <w:rsid w:val="00A77325"/>
    <w:rsid w:val="00A83BD1"/>
    <w:rsid w:val="00A854F6"/>
    <w:rsid w:val="00A85FEA"/>
    <w:rsid w:val="00AA49B3"/>
    <w:rsid w:val="00AA616A"/>
    <w:rsid w:val="00AA6287"/>
    <w:rsid w:val="00AB381E"/>
    <w:rsid w:val="00AB544D"/>
    <w:rsid w:val="00AB5E95"/>
    <w:rsid w:val="00AC1B9F"/>
    <w:rsid w:val="00AD29EE"/>
    <w:rsid w:val="00AD432C"/>
    <w:rsid w:val="00AE030C"/>
    <w:rsid w:val="00AF114A"/>
    <w:rsid w:val="00AF2820"/>
    <w:rsid w:val="00AF454F"/>
    <w:rsid w:val="00B03428"/>
    <w:rsid w:val="00B03809"/>
    <w:rsid w:val="00B31FC1"/>
    <w:rsid w:val="00B325DA"/>
    <w:rsid w:val="00B3283C"/>
    <w:rsid w:val="00B3418F"/>
    <w:rsid w:val="00B45A8D"/>
    <w:rsid w:val="00B50F27"/>
    <w:rsid w:val="00B551CD"/>
    <w:rsid w:val="00B67505"/>
    <w:rsid w:val="00B72F0E"/>
    <w:rsid w:val="00B73C3F"/>
    <w:rsid w:val="00B76F7F"/>
    <w:rsid w:val="00B84549"/>
    <w:rsid w:val="00B853AB"/>
    <w:rsid w:val="00B85B9F"/>
    <w:rsid w:val="00B9146A"/>
    <w:rsid w:val="00B9305D"/>
    <w:rsid w:val="00B94F1C"/>
    <w:rsid w:val="00B978B4"/>
    <w:rsid w:val="00BA454C"/>
    <w:rsid w:val="00BA4DF5"/>
    <w:rsid w:val="00BB460E"/>
    <w:rsid w:val="00BC3112"/>
    <w:rsid w:val="00BD0AFA"/>
    <w:rsid w:val="00BD5AF5"/>
    <w:rsid w:val="00BE33A0"/>
    <w:rsid w:val="00BE618C"/>
    <w:rsid w:val="00BE658D"/>
    <w:rsid w:val="00BF6B66"/>
    <w:rsid w:val="00BF7241"/>
    <w:rsid w:val="00BF794B"/>
    <w:rsid w:val="00C133EA"/>
    <w:rsid w:val="00C16689"/>
    <w:rsid w:val="00C20E88"/>
    <w:rsid w:val="00C21A21"/>
    <w:rsid w:val="00C2316E"/>
    <w:rsid w:val="00C2691D"/>
    <w:rsid w:val="00C34E65"/>
    <w:rsid w:val="00C35112"/>
    <w:rsid w:val="00C35F6F"/>
    <w:rsid w:val="00C36A2E"/>
    <w:rsid w:val="00C428F9"/>
    <w:rsid w:val="00C44201"/>
    <w:rsid w:val="00C54F57"/>
    <w:rsid w:val="00C6344C"/>
    <w:rsid w:val="00C634A8"/>
    <w:rsid w:val="00C638D2"/>
    <w:rsid w:val="00C64240"/>
    <w:rsid w:val="00C65194"/>
    <w:rsid w:val="00C81F1C"/>
    <w:rsid w:val="00C85E11"/>
    <w:rsid w:val="00C86049"/>
    <w:rsid w:val="00C87D88"/>
    <w:rsid w:val="00C901FA"/>
    <w:rsid w:val="00CA560E"/>
    <w:rsid w:val="00CB36F5"/>
    <w:rsid w:val="00CB5260"/>
    <w:rsid w:val="00CB5750"/>
    <w:rsid w:val="00CC193D"/>
    <w:rsid w:val="00CC3BD3"/>
    <w:rsid w:val="00CC7876"/>
    <w:rsid w:val="00CD028C"/>
    <w:rsid w:val="00CD1A57"/>
    <w:rsid w:val="00CD4D85"/>
    <w:rsid w:val="00CD5C04"/>
    <w:rsid w:val="00CF399C"/>
    <w:rsid w:val="00CF66CE"/>
    <w:rsid w:val="00CF6713"/>
    <w:rsid w:val="00D05659"/>
    <w:rsid w:val="00D07C97"/>
    <w:rsid w:val="00D1734A"/>
    <w:rsid w:val="00D345CF"/>
    <w:rsid w:val="00D36109"/>
    <w:rsid w:val="00D362D7"/>
    <w:rsid w:val="00D41E6E"/>
    <w:rsid w:val="00D46BA6"/>
    <w:rsid w:val="00D4718C"/>
    <w:rsid w:val="00D50EE5"/>
    <w:rsid w:val="00D5181C"/>
    <w:rsid w:val="00D5268C"/>
    <w:rsid w:val="00D62AEA"/>
    <w:rsid w:val="00D645DF"/>
    <w:rsid w:val="00D64DAA"/>
    <w:rsid w:val="00D67782"/>
    <w:rsid w:val="00D73F62"/>
    <w:rsid w:val="00D75CB7"/>
    <w:rsid w:val="00D83D67"/>
    <w:rsid w:val="00D94162"/>
    <w:rsid w:val="00D954F8"/>
    <w:rsid w:val="00D96D1B"/>
    <w:rsid w:val="00D9744B"/>
    <w:rsid w:val="00DA0026"/>
    <w:rsid w:val="00DA0CBF"/>
    <w:rsid w:val="00DA29C8"/>
    <w:rsid w:val="00DA6542"/>
    <w:rsid w:val="00DA6BBF"/>
    <w:rsid w:val="00DB214E"/>
    <w:rsid w:val="00DC256A"/>
    <w:rsid w:val="00DC3AAC"/>
    <w:rsid w:val="00DC6E98"/>
    <w:rsid w:val="00DC6F62"/>
    <w:rsid w:val="00DD4C62"/>
    <w:rsid w:val="00DE1E14"/>
    <w:rsid w:val="00DE4BBD"/>
    <w:rsid w:val="00DF4D39"/>
    <w:rsid w:val="00E07757"/>
    <w:rsid w:val="00E11167"/>
    <w:rsid w:val="00E14BD2"/>
    <w:rsid w:val="00E15367"/>
    <w:rsid w:val="00E15C1D"/>
    <w:rsid w:val="00E23B2B"/>
    <w:rsid w:val="00E25B6D"/>
    <w:rsid w:val="00E32355"/>
    <w:rsid w:val="00E330E1"/>
    <w:rsid w:val="00E33FAD"/>
    <w:rsid w:val="00E44C6D"/>
    <w:rsid w:val="00E46E42"/>
    <w:rsid w:val="00E57CF7"/>
    <w:rsid w:val="00E671F5"/>
    <w:rsid w:val="00E7297A"/>
    <w:rsid w:val="00E866EC"/>
    <w:rsid w:val="00E9359D"/>
    <w:rsid w:val="00EA02F6"/>
    <w:rsid w:val="00EA5A2A"/>
    <w:rsid w:val="00EA69F0"/>
    <w:rsid w:val="00EC5CF4"/>
    <w:rsid w:val="00ED647D"/>
    <w:rsid w:val="00EE1585"/>
    <w:rsid w:val="00EE15EB"/>
    <w:rsid w:val="00EE5F8A"/>
    <w:rsid w:val="00EE73F6"/>
    <w:rsid w:val="00EF60B5"/>
    <w:rsid w:val="00EF6510"/>
    <w:rsid w:val="00F01DED"/>
    <w:rsid w:val="00F10DFF"/>
    <w:rsid w:val="00F13809"/>
    <w:rsid w:val="00F1633A"/>
    <w:rsid w:val="00F23856"/>
    <w:rsid w:val="00F25F2A"/>
    <w:rsid w:val="00F36349"/>
    <w:rsid w:val="00F414FC"/>
    <w:rsid w:val="00F41965"/>
    <w:rsid w:val="00F45CF7"/>
    <w:rsid w:val="00F51117"/>
    <w:rsid w:val="00F5639C"/>
    <w:rsid w:val="00F625EB"/>
    <w:rsid w:val="00F63D50"/>
    <w:rsid w:val="00F66624"/>
    <w:rsid w:val="00F702B4"/>
    <w:rsid w:val="00F71D38"/>
    <w:rsid w:val="00F800BC"/>
    <w:rsid w:val="00F83B0A"/>
    <w:rsid w:val="00F850BE"/>
    <w:rsid w:val="00F86C5A"/>
    <w:rsid w:val="00F87308"/>
    <w:rsid w:val="00F90C89"/>
    <w:rsid w:val="00F97A93"/>
    <w:rsid w:val="00FA2148"/>
    <w:rsid w:val="00FA397E"/>
    <w:rsid w:val="00FA4B45"/>
    <w:rsid w:val="00FA4E0D"/>
    <w:rsid w:val="00FA6014"/>
    <w:rsid w:val="00FB3BA9"/>
    <w:rsid w:val="00FE1797"/>
    <w:rsid w:val="00FE289E"/>
    <w:rsid w:val="00FE2ED1"/>
    <w:rsid w:val="00FF543D"/>
    <w:rsid w:val="00FF6176"/>
    <w:rsid w:val="00FF7D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AE2C2"/>
  <w15:chartTrackingRefBased/>
  <w15:docId w15:val="{763026D3-C0F0-4F6B-AAB5-28DB2381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9"/>
    <w:lsdException w:name="Bibliography" w:semiHidden="1" w:uiPriority="39"/>
    <w:lsdException w:name="TOC Heading" w:semiHidden="1" w:uiPriority="35"/>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A3"/>
    <w:pPr>
      <w:suppressAutoHyphens/>
      <w:spacing w:after="400" w:line="320" w:lineRule="atLeast"/>
    </w:pPr>
    <w:rPr>
      <w:sz w:val="21"/>
      <w:lang w:val="fr-BE"/>
    </w:rPr>
  </w:style>
  <w:style w:type="paragraph" w:styleId="Titre1">
    <w:name w:val="heading 1"/>
    <w:basedOn w:val="Normal"/>
    <w:next w:val="Normal"/>
    <w:link w:val="Titre1Car"/>
    <w:uiPriority w:val="9"/>
    <w:qFormat/>
    <w:rsid w:val="008B3E7B"/>
    <w:pPr>
      <w:keepNext/>
      <w:keepLines/>
      <w:spacing w:line="278" w:lineRule="auto"/>
      <w:outlineLvl w:val="0"/>
    </w:pPr>
    <w:rPr>
      <w:rFonts w:asciiTheme="majorHAnsi" w:eastAsiaTheme="majorEastAsia" w:hAnsiTheme="majorHAnsi" w:cstheme="majorBidi"/>
      <w:b/>
      <w:sz w:val="68"/>
      <w:szCs w:val="32"/>
    </w:rPr>
  </w:style>
  <w:style w:type="paragraph" w:styleId="Titre2">
    <w:name w:val="heading 2"/>
    <w:basedOn w:val="Titre1"/>
    <w:next w:val="Normal"/>
    <w:link w:val="Titre2Car"/>
    <w:uiPriority w:val="9"/>
    <w:qFormat/>
    <w:rsid w:val="008B3E7B"/>
    <w:pPr>
      <w:outlineLvl w:val="1"/>
    </w:pPr>
    <w:rPr>
      <w:rFonts w:cs="Times New Roman (Headings CS)"/>
      <w:sz w:val="52"/>
      <w:szCs w:val="26"/>
    </w:rPr>
  </w:style>
  <w:style w:type="paragraph" w:styleId="Titre3">
    <w:name w:val="heading 3"/>
    <w:basedOn w:val="Titre1"/>
    <w:next w:val="Normal"/>
    <w:link w:val="Titre3Car"/>
    <w:uiPriority w:val="9"/>
    <w:qFormat/>
    <w:rsid w:val="008B3E7B"/>
    <w:pPr>
      <w:spacing w:after="320" w:line="259" w:lineRule="auto"/>
      <w:outlineLvl w:val="2"/>
    </w:pPr>
    <w:rPr>
      <w:rFonts w:ascii="Montserrat SemiBold" w:hAnsi="Montserrat SemiBold" w:cs="Times New Roman (Headings CS)"/>
      <w:sz w:val="38"/>
    </w:rPr>
  </w:style>
  <w:style w:type="paragraph" w:styleId="Titre4">
    <w:name w:val="heading 4"/>
    <w:basedOn w:val="Titre3"/>
    <w:next w:val="Normal"/>
    <w:link w:val="Titre4Car"/>
    <w:uiPriority w:val="9"/>
    <w:qFormat/>
    <w:rsid w:val="008B3E7B"/>
    <w:pPr>
      <w:spacing w:after="160"/>
      <w:outlineLvl w:val="3"/>
    </w:pPr>
    <w:rPr>
      <w:b w:val="0"/>
      <w:iCs/>
      <w:sz w:val="26"/>
    </w:rPr>
  </w:style>
  <w:style w:type="paragraph" w:styleId="Titre5">
    <w:name w:val="heading 5"/>
    <w:basedOn w:val="Normal"/>
    <w:next w:val="Normal"/>
    <w:link w:val="Titre5Car"/>
    <w:uiPriority w:val="9"/>
    <w:semiHidden/>
    <w:rsid w:val="00BA454C"/>
    <w:pPr>
      <w:keepNext/>
      <w:keepLines/>
      <w:spacing w:after="0"/>
      <w:outlineLvl w:val="4"/>
    </w:pPr>
    <w:rPr>
      <w:rFonts w:asciiTheme="majorHAnsi" w:eastAsiaTheme="majorEastAsia" w:hAnsiTheme="majorHAnsi" w:cstheme="majorBidi"/>
      <w:color w:val="004050" w:themeColor="accent1" w:themeShade="BF"/>
    </w:rPr>
  </w:style>
  <w:style w:type="paragraph" w:styleId="Titre6">
    <w:name w:val="heading 6"/>
    <w:basedOn w:val="Normal"/>
    <w:next w:val="Normal"/>
    <w:link w:val="Titre6Car"/>
    <w:uiPriority w:val="9"/>
    <w:semiHidden/>
    <w:rsid w:val="00BA454C"/>
    <w:pPr>
      <w:keepNext/>
      <w:keepLines/>
      <w:spacing w:after="0"/>
      <w:outlineLvl w:val="5"/>
    </w:pPr>
    <w:rPr>
      <w:rFonts w:asciiTheme="majorHAnsi" w:eastAsiaTheme="majorEastAsia" w:hAnsiTheme="majorHAnsi" w:cstheme="majorBidi"/>
      <w:color w:val="002A35" w:themeColor="accent1" w:themeShade="7F"/>
    </w:rPr>
  </w:style>
  <w:style w:type="paragraph" w:styleId="Titre7">
    <w:name w:val="heading 7"/>
    <w:basedOn w:val="Normal"/>
    <w:next w:val="Normal"/>
    <w:link w:val="Titre7Car"/>
    <w:uiPriority w:val="9"/>
    <w:semiHidden/>
    <w:rsid w:val="00BA454C"/>
    <w:pPr>
      <w:keepNext/>
      <w:keepLines/>
      <w:spacing w:after="0"/>
      <w:outlineLvl w:val="6"/>
    </w:pPr>
    <w:rPr>
      <w:rFonts w:asciiTheme="majorHAnsi" w:eastAsiaTheme="majorEastAsia" w:hAnsiTheme="majorHAnsi" w:cstheme="majorBidi"/>
      <w:i/>
      <w:iCs/>
      <w:color w:val="002A35" w:themeColor="accent1" w:themeShade="7F"/>
    </w:rPr>
  </w:style>
  <w:style w:type="paragraph" w:styleId="Titre8">
    <w:name w:val="heading 8"/>
    <w:basedOn w:val="Normal"/>
    <w:next w:val="Normal"/>
    <w:link w:val="Titre8Car"/>
    <w:uiPriority w:val="9"/>
    <w:semiHidden/>
    <w:rsid w:val="00BA454C"/>
    <w:pPr>
      <w:keepNext/>
      <w:keepLines/>
      <w:spacing w:after="0"/>
      <w:outlineLvl w:val="7"/>
    </w:pPr>
    <w:rPr>
      <w:rFonts w:asciiTheme="majorHAnsi" w:eastAsiaTheme="majorEastAsia" w:hAnsiTheme="majorHAnsi" w:cstheme="majorBidi"/>
      <w:color w:val="1B4851" w:themeColor="text1" w:themeTint="D8"/>
      <w:szCs w:val="21"/>
    </w:rPr>
  </w:style>
  <w:style w:type="paragraph" w:styleId="Titre9">
    <w:name w:val="heading 9"/>
    <w:basedOn w:val="Normal"/>
    <w:next w:val="Normal"/>
    <w:link w:val="Titre9Car"/>
    <w:uiPriority w:val="9"/>
    <w:semiHidden/>
    <w:rsid w:val="00BA454C"/>
    <w:pPr>
      <w:keepNext/>
      <w:keepLines/>
      <w:spacing w:after="0"/>
      <w:outlineLvl w:val="8"/>
    </w:pPr>
    <w:rPr>
      <w:rFonts w:asciiTheme="majorHAnsi" w:eastAsiaTheme="majorEastAsia" w:hAnsiTheme="majorHAnsi" w:cstheme="majorBidi"/>
      <w:i/>
      <w:iCs/>
      <w:color w:val="1B4851"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37AD2"/>
    <w:rPr>
      <w:sz w:val="21"/>
      <w:lang w:val="fr-BE"/>
    </w:rPr>
  </w:style>
  <w:style w:type="character" w:customStyle="1" w:styleId="Titre1Car">
    <w:name w:val="Titre 1 Car"/>
    <w:basedOn w:val="Policepardfaut"/>
    <w:link w:val="Titre1"/>
    <w:uiPriority w:val="9"/>
    <w:rsid w:val="008B3E7B"/>
    <w:rPr>
      <w:rFonts w:asciiTheme="majorHAnsi" w:eastAsiaTheme="majorEastAsia" w:hAnsiTheme="majorHAnsi" w:cstheme="majorBidi"/>
      <w:b/>
      <w:sz w:val="68"/>
      <w:szCs w:val="32"/>
      <w:lang w:val="nl-NL"/>
    </w:rPr>
  </w:style>
  <w:style w:type="character" w:customStyle="1" w:styleId="Titre2Car">
    <w:name w:val="Titre 2 Car"/>
    <w:basedOn w:val="Policepardfaut"/>
    <w:link w:val="Titre2"/>
    <w:uiPriority w:val="9"/>
    <w:rsid w:val="008B3E7B"/>
    <w:rPr>
      <w:rFonts w:asciiTheme="majorHAnsi" w:eastAsiaTheme="majorEastAsia" w:hAnsiTheme="majorHAnsi" w:cs="Times New Roman (Headings CS)"/>
      <w:b/>
      <w:sz w:val="52"/>
      <w:szCs w:val="26"/>
      <w:lang w:val="nl-NL"/>
    </w:rPr>
  </w:style>
  <w:style w:type="character" w:customStyle="1" w:styleId="Titre3Car">
    <w:name w:val="Titre 3 Car"/>
    <w:basedOn w:val="Policepardfaut"/>
    <w:link w:val="Titre3"/>
    <w:uiPriority w:val="9"/>
    <w:rsid w:val="008B3E7B"/>
    <w:rPr>
      <w:rFonts w:ascii="Montserrat SemiBold" w:eastAsiaTheme="majorEastAsia" w:hAnsi="Montserrat SemiBold" w:cs="Times New Roman (Headings CS)"/>
      <w:b/>
      <w:sz w:val="38"/>
      <w:szCs w:val="32"/>
      <w:lang w:val="nl-NL"/>
    </w:rPr>
  </w:style>
  <w:style w:type="character" w:styleId="lev">
    <w:name w:val="Strong"/>
    <w:uiPriority w:val="22"/>
    <w:qFormat/>
    <w:rsid w:val="008B3E7B"/>
    <w:rPr>
      <w:b/>
      <w:bCs/>
    </w:rPr>
  </w:style>
  <w:style w:type="character" w:customStyle="1" w:styleId="Titre4Car">
    <w:name w:val="Titre 4 Car"/>
    <w:basedOn w:val="Policepardfaut"/>
    <w:link w:val="Titre4"/>
    <w:uiPriority w:val="9"/>
    <w:rsid w:val="008B3E7B"/>
    <w:rPr>
      <w:rFonts w:ascii="Montserrat SemiBold" w:eastAsiaTheme="majorEastAsia" w:hAnsi="Montserrat SemiBold" w:cs="Times New Roman (Headings CS)"/>
      <w:iCs/>
      <w:sz w:val="26"/>
      <w:szCs w:val="32"/>
      <w:lang w:val="nl-NL"/>
    </w:rPr>
  </w:style>
  <w:style w:type="character" w:customStyle="1" w:styleId="Titre5Car">
    <w:name w:val="Titre 5 Car"/>
    <w:basedOn w:val="Policepardfaut"/>
    <w:link w:val="Titre5"/>
    <w:uiPriority w:val="9"/>
    <w:semiHidden/>
    <w:rsid w:val="0077278D"/>
    <w:rPr>
      <w:rFonts w:asciiTheme="majorHAnsi" w:eastAsiaTheme="majorEastAsia" w:hAnsiTheme="majorHAnsi" w:cstheme="majorBidi"/>
      <w:color w:val="004050" w:themeColor="accent1" w:themeShade="BF"/>
      <w:sz w:val="21"/>
      <w:lang w:val="nl-NL"/>
    </w:rPr>
  </w:style>
  <w:style w:type="character" w:customStyle="1" w:styleId="Titre6Car">
    <w:name w:val="Titre 6 Car"/>
    <w:basedOn w:val="Policepardfaut"/>
    <w:link w:val="Titre6"/>
    <w:uiPriority w:val="9"/>
    <w:semiHidden/>
    <w:rsid w:val="0077278D"/>
    <w:rPr>
      <w:rFonts w:asciiTheme="majorHAnsi" w:eastAsiaTheme="majorEastAsia" w:hAnsiTheme="majorHAnsi" w:cstheme="majorBidi"/>
      <w:color w:val="002A35" w:themeColor="accent1" w:themeShade="7F"/>
      <w:sz w:val="21"/>
      <w:lang w:val="nl-NL"/>
    </w:rPr>
  </w:style>
  <w:style w:type="character" w:customStyle="1" w:styleId="Titre7Car">
    <w:name w:val="Titre 7 Car"/>
    <w:basedOn w:val="Policepardfaut"/>
    <w:link w:val="Titre7"/>
    <w:uiPriority w:val="9"/>
    <w:semiHidden/>
    <w:rsid w:val="0077278D"/>
    <w:rPr>
      <w:rFonts w:asciiTheme="majorHAnsi" w:eastAsiaTheme="majorEastAsia" w:hAnsiTheme="majorHAnsi" w:cstheme="majorBidi"/>
      <w:i/>
      <w:iCs/>
      <w:color w:val="002A35" w:themeColor="accent1" w:themeShade="7F"/>
      <w:sz w:val="21"/>
      <w:lang w:val="nl-NL"/>
    </w:rPr>
  </w:style>
  <w:style w:type="character" w:customStyle="1" w:styleId="Titre8Car">
    <w:name w:val="Titre 8 Car"/>
    <w:basedOn w:val="Policepardfaut"/>
    <w:link w:val="Titre8"/>
    <w:uiPriority w:val="9"/>
    <w:semiHidden/>
    <w:rsid w:val="0077278D"/>
    <w:rPr>
      <w:rFonts w:asciiTheme="majorHAnsi" w:eastAsiaTheme="majorEastAsia" w:hAnsiTheme="majorHAnsi" w:cstheme="majorBidi"/>
      <w:color w:val="1B4851" w:themeColor="text1" w:themeTint="D8"/>
      <w:sz w:val="21"/>
      <w:szCs w:val="21"/>
      <w:lang w:val="nl-NL"/>
    </w:rPr>
  </w:style>
  <w:style w:type="character" w:customStyle="1" w:styleId="Titre9Car">
    <w:name w:val="Titre 9 Car"/>
    <w:basedOn w:val="Policepardfaut"/>
    <w:link w:val="Titre9"/>
    <w:uiPriority w:val="9"/>
    <w:semiHidden/>
    <w:rsid w:val="0077278D"/>
    <w:rPr>
      <w:rFonts w:asciiTheme="majorHAnsi" w:eastAsiaTheme="majorEastAsia" w:hAnsiTheme="majorHAnsi" w:cstheme="majorBidi"/>
      <w:i/>
      <w:iCs/>
      <w:color w:val="1B4851" w:themeColor="text1" w:themeTint="D8"/>
      <w:sz w:val="21"/>
      <w:szCs w:val="21"/>
      <w:lang w:val="nl-NL"/>
    </w:rPr>
  </w:style>
  <w:style w:type="paragraph" w:styleId="Titre">
    <w:name w:val="Title"/>
    <w:aliases w:val="TitrePrincipal"/>
    <w:basedOn w:val="Normal"/>
    <w:next w:val="Sous-titre"/>
    <w:link w:val="TitreCar"/>
    <w:uiPriority w:val="30"/>
    <w:qFormat/>
    <w:rsid w:val="008B3E7B"/>
    <w:pPr>
      <w:spacing w:after="200" w:line="240" w:lineRule="auto"/>
      <w:contextualSpacing/>
    </w:pPr>
    <w:rPr>
      <w:rFonts w:asciiTheme="majorHAnsi" w:eastAsiaTheme="majorEastAsia" w:hAnsiTheme="majorHAnsi" w:cstheme="majorBidi"/>
      <w:b/>
      <w:spacing w:val="-10"/>
      <w:kern w:val="28"/>
      <w:sz w:val="88"/>
      <w:szCs w:val="56"/>
    </w:rPr>
  </w:style>
  <w:style w:type="character" w:customStyle="1" w:styleId="TitreCar">
    <w:name w:val="Titre Car"/>
    <w:aliases w:val="TitrePrincipal Car"/>
    <w:basedOn w:val="Policepardfaut"/>
    <w:link w:val="Titre"/>
    <w:uiPriority w:val="30"/>
    <w:rsid w:val="0077278D"/>
    <w:rPr>
      <w:rFonts w:asciiTheme="majorHAnsi" w:eastAsiaTheme="majorEastAsia" w:hAnsiTheme="majorHAnsi" w:cstheme="majorBidi"/>
      <w:b/>
      <w:spacing w:val="-10"/>
      <w:kern w:val="28"/>
      <w:sz w:val="88"/>
      <w:szCs w:val="56"/>
      <w:lang w:val="nl-NL"/>
    </w:rPr>
  </w:style>
  <w:style w:type="paragraph" w:styleId="Sous-titre">
    <w:name w:val="Subtitle"/>
    <w:basedOn w:val="Normal"/>
    <w:next w:val="Normal"/>
    <w:link w:val="Sous-titreCar"/>
    <w:uiPriority w:val="31"/>
    <w:qFormat/>
    <w:rsid w:val="00CB5260"/>
    <w:pPr>
      <w:numPr>
        <w:ilvl w:val="1"/>
      </w:numPr>
      <w:spacing w:after="160" w:line="240" w:lineRule="auto"/>
      <w:contextualSpacing/>
    </w:pPr>
    <w:rPr>
      <w:rFonts w:ascii="Montserrat SemiBold" w:eastAsiaTheme="minorEastAsia" w:hAnsi="Montserrat SemiBold" w:cs="Times New Roman (Body CS)"/>
      <w:color w:val="328798" w:themeColor="text1" w:themeTint="A5"/>
      <w:spacing w:val="15"/>
      <w:sz w:val="52"/>
      <w:szCs w:val="22"/>
    </w:rPr>
  </w:style>
  <w:style w:type="character" w:customStyle="1" w:styleId="Sous-titreCar">
    <w:name w:val="Sous-titre Car"/>
    <w:basedOn w:val="Policepardfaut"/>
    <w:link w:val="Sous-titre"/>
    <w:uiPriority w:val="31"/>
    <w:rsid w:val="0077278D"/>
    <w:rPr>
      <w:rFonts w:ascii="Montserrat SemiBold" w:eastAsiaTheme="minorEastAsia" w:hAnsi="Montserrat SemiBold" w:cs="Times New Roman (Body CS)"/>
      <w:color w:val="328798" w:themeColor="text1" w:themeTint="A5"/>
      <w:spacing w:val="15"/>
      <w:sz w:val="52"/>
      <w:szCs w:val="22"/>
      <w:lang w:val="nl-NL"/>
    </w:rPr>
  </w:style>
  <w:style w:type="paragraph" w:styleId="Citation">
    <w:name w:val="Quote"/>
    <w:aliases w:val="Mise en évidence - ligne verticale"/>
    <w:basedOn w:val="Normal"/>
    <w:next w:val="Normal"/>
    <w:link w:val="CitationCar"/>
    <w:uiPriority w:val="19"/>
    <w:qFormat/>
    <w:rsid w:val="003861A3"/>
    <w:pPr>
      <w:keepLines/>
      <w:framePr w:vSpace="312" w:wrap="notBeside" w:vAnchor="text" w:hAnchor="text" w:y="1"/>
      <w:pBdr>
        <w:left w:val="single" w:sz="48" w:space="16" w:color="FFED75" w:themeColor="accent2"/>
      </w:pBdr>
      <w:spacing w:after="0" w:line="336" w:lineRule="auto"/>
    </w:pPr>
    <w:rPr>
      <w:iCs/>
      <w:sz w:val="24"/>
    </w:rPr>
  </w:style>
  <w:style w:type="character" w:styleId="Accentuation">
    <w:name w:val="Emphasis"/>
    <w:uiPriority w:val="6"/>
    <w:qFormat/>
    <w:rsid w:val="008B3E7B"/>
    <w:rPr>
      <w:i/>
      <w:iCs/>
    </w:rPr>
  </w:style>
  <w:style w:type="character" w:styleId="Accentuationintense">
    <w:name w:val="Intense Emphasis"/>
    <w:basedOn w:val="Policepardfaut"/>
    <w:uiPriority w:val="99"/>
    <w:semiHidden/>
    <w:rsid w:val="00BA454C"/>
    <w:rPr>
      <w:rFonts w:asciiTheme="minorHAnsi" w:hAnsiTheme="minorHAnsi"/>
      <w:b w:val="0"/>
      <w:i/>
      <w:iCs/>
      <w:color w:val="00566B" w:themeColor="accent1"/>
      <w:sz w:val="21"/>
    </w:rPr>
  </w:style>
  <w:style w:type="character" w:customStyle="1" w:styleId="CitationCar">
    <w:name w:val="Citation Car"/>
    <w:aliases w:val="Mise en évidence - ligne verticale Car"/>
    <w:basedOn w:val="Policepardfaut"/>
    <w:link w:val="Citation"/>
    <w:uiPriority w:val="19"/>
    <w:rsid w:val="003861A3"/>
    <w:rPr>
      <w:iCs/>
      <w:lang w:val="fr-BE"/>
    </w:rPr>
  </w:style>
  <w:style w:type="paragraph" w:styleId="Citationintense">
    <w:name w:val="Intense Quote"/>
    <w:aliases w:val="Mise en évidence - plein cadre - vert clair"/>
    <w:basedOn w:val="Normal"/>
    <w:next w:val="Normal"/>
    <w:link w:val="CitationintenseCar"/>
    <w:uiPriority w:val="20"/>
    <w:qFormat/>
    <w:rsid w:val="00E57CF7"/>
    <w:pPr>
      <w:framePr w:vSpace="301" w:wrap="notBeside" w:vAnchor="text" w:hAnchor="text" w:y="1"/>
      <w:pBdr>
        <w:top w:val="single" w:sz="24" w:space="10" w:color="B6E7DD" w:themeColor="accent5"/>
        <w:left w:val="single" w:sz="24" w:space="10" w:color="B6E7DD" w:themeColor="accent5"/>
        <w:bottom w:val="single" w:sz="24" w:space="10" w:color="B6E7DD" w:themeColor="accent5"/>
        <w:right w:val="single" w:sz="24" w:space="10" w:color="B6E7DD" w:themeColor="accent5"/>
      </w:pBdr>
      <w:shd w:val="clear" w:color="auto" w:fill="B6E7DD" w:themeFill="accent5"/>
      <w:spacing w:after="0"/>
    </w:pPr>
    <w:rPr>
      <w:iCs/>
    </w:rPr>
  </w:style>
  <w:style w:type="character" w:customStyle="1" w:styleId="CitationintenseCar">
    <w:name w:val="Citation intense Car"/>
    <w:aliases w:val="Mise en évidence - plein cadre - vert clair Car"/>
    <w:basedOn w:val="Policepardfaut"/>
    <w:link w:val="Citationintense"/>
    <w:uiPriority w:val="20"/>
    <w:rsid w:val="00E57CF7"/>
    <w:rPr>
      <w:iCs/>
      <w:sz w:val="21"/>
      <w:shd w:val="clear" w:color="auto" w:fill="B6E7DD" w:themeFill="accent5"/>
      <w:lang w:val="fr-BE"/>
    </w:rPr>
  </w:style>
  <w:style w:type="paragraph" w:styleId="Paragraphedeliste">
    <w:name w:val="List Paragraph"/>
    <w:basedOn w:val="Listepuces"/>
    <w:uiPriority w:val="40"/>
    <w:unhideWhenUsed/>
    <w:rsid w:val="00CF6713"/>
    <w:pPr>
      <w:ind w:left="714"/>
    </w:pPr>
  </w:style>
  <w:style w:type="paragraph" w:customStyle="1" w:styleId="Miseenvidence-pleincadre-rougeclair">
    <w:name w:val="Mise en évidence - plein cadre - rouge clair"/>
    <w:basedOn w:val="Citationintense"/>
    <w:next w:val="Normal"/>
    <w:uiPriority w:val="20"/>
    <w:qFormat/>
    <w:rsid w:val="008B3E7B"/>
    <w:pPr>
      <w:framePr w:wrap="around"/>
      <w:pBdr>
        <w:top w:val="single" w:sz="4" w:space="10" w:color="F8D7BC" w:themeColor="accent6"/>
        <w:left w:val="single" w:sz="4" w:space="10" w:color="F8D7BC" w:themeColor="accent6"/>
        <w:bottom w:val="single" w:sz="4" w:space="10" w:color="F8D7BC" w:themeColor="accent6"/>
        <w:right w:val="single" w:sz="4" w:space="10" w:color="F8D7BC" w:themeColor="accent6"/>
      </w:pBdr>
      <w:shd w:val="clear" w:color="auto" w:fill="F8D7BC" w:themeFill="accent6"/>
    </w:pPr>
  </w:style>
  <w:style w:type="paragraph" w:customStyle="1" w:styleId="Miseenvidence-cadredebordure-vertclair">
    <w:name w:val="Mise en évidence - cadre de bordure - vert clair"/>
    <w:basedOn w:val="Citationintense"/>
    <w:next w:val="Normal"/>
    <w:uiPriority w:val="21"/>
    <w:qFormat/>
    <w:rsid w:val="00E57CF7"/>
    <w:pPr>
      <w:framePr w:wrap="around"/>
      <w:shd w:val="clear" w:color="auto" w:fill="auto"/>
    </w:pPr>
  </w:style>
  <w:style w:type="paragraph" w:customStyle="1" w:styleId="Miseenvidence-cadredebordure-rougeclair">
    <w:name w:val="Mise en évidence - cadre de bordure - rouge clair"/>
    <w:basedOn w:val="Miseenvidence-cadredebordure-vertclair"/>
    <w:next w:val="Normal"/>
    <w:uiPriority w:val="21"/>
    <w:qFormat/>
    <w:rsid w:val="008B3E7B"/>
    <w:pPr>
      <w:framePr w:wrap="around"/>
      <w:pBdr>
        <w:top w:val="single" w:sz="24" w:space="10" w:color="F8D7BC" w:themeColor="accent6"/>
        <w:left w:val="single" w:sz="24" w:space="10" w:color="F8D7BC" w:themeColor="accent6"/>
        <w:bottom w:val="single" w:sz="24" w:space="10" w:color="F8D7BC" w:themeColor="accent6"/>
        <w:right w:val="single" w:sz="24" w:space="10" w:color="F8D7BC" w:themeColor="accent6"/>
      </w:pBdr>
    </w:pPr>
  </w:style>
  <w:style w:type="paragraph" w:styleId="En-tte">
    <w:name w:val="header"/>
    <w:basedOn w:val="Pieddepage"/>
    <w:link w:val="En-tteCar"/>
    <w:uiPriority w:val="36"/>
    <w:unhideWhenUsed/>
    <w:rsid w:val="004E5098"/>
    <w:pPr>
      <w:spacing w:before="0" w:after="240" w:line="240" w:lineRule="auto"/>
    </w:pPr>
  </w:style>
  <w:style w:type="character" w:customStyle="1" w:styleId="En-tteCar">
    <w:name w:val="En-tête Car"/>
    <w:basedOn w:val="Policepardfaut"/>
    <w:link w:val="En-tte"/>
    <w:uiPriority w:val="36"/>
    <w:rsid w:val="00B978B4"/>
    <w:rPr>
      <w:rFonts w:ascii="Open Sans Light" w:hAnsi="Open Sans Light" w:cs="Times New Roman (Body CS)"/>
      <w:color w:val="535D5F"/>
      <w:sz w:val="18"/>
      <w:lang w:val="nl-NL"/>
    </w:rPr>
  </w:style>
  <w:style w:type="paragraph" w:styleId="Pieddepage">
    <w:name w:val="footer"/>
    <w:basedOn w:val="Normal"/>
    <w:link w:val="PieddepageCar"/>
    <w:uiPriority w:val="99"/>
    <w:unhideWhenUsed/>
    <w:rsid w:val="008A014D"/>
    <w:pPr>
      <w:tabs>
        <w:tab w:val="center" w:pos="4513"/>
        <w:tab w:val="right" w:pos="9026"/>
      </w:tabs>
      <w:spacing w:before="360" w:after="0" w:line="259" w:lineRule="auto"/>
      <w:jc w:val="right"/>
    </w:pPr>
    <w:rPr>
      <w:rFonts w:ascii="Open Sans Light" w:hAnsi="Open Sans Light" w:cs="Times New Roman (Body CS)"/>
      <w:color w:val="535D5F"/>
      <w:sz w:val="18"/>
    </w:rPr>
  </w:style>
  <w:style w:type="character" w:customStyle="1" w:styleId="PieddepageCar">
    <w:name w:val="Pied de page Car"/>
    <w:basedOn w:val="Policepardfaut"/>
    <w:link w:val="Pieddepage"/>
    <w:uiPriority w:val="99"/>
    <w:rsid w:val="00B978B4"/>
    <w:rPr>
      <w:rFonts w:ascii="Open Sans Light" w:hAnsi="Open Sans Light" w:cs="Times New Roman (Body CS)"/>
      <w:color w:val="535D5F"/>
      <w:sz w:val="18"/>
      <w:lang w:val="nl-NL"/>
    </w:rPr>
  </w:style>
  <w:style w:type="table" w:styleId="Grilledutableau">
    <w:name w:val="Table Grid"/>
    <w:basedOn w:val="TableauNormal"/>
    <w:uiPriority w:val="39"/>
    <w:rsid w:val="00AB381E"/>
    <w:pPr>
      <w:spacing w:before="100" w:beforeAutospacing="1" w:after="100" w:afterAutospacing="1"/>
    </w:pPr>
    <w:rPr>
      <w:rFonts w:ascii="Open Sans" w:hAnsi="Open Sans"/>
      <w:sz w:val="21"/>
    </w:rPr>
    <w:tblPr>
      <w:tblBorders>
        <w:top w:val="single" w:sz="4" w:space="0" w:color="09181B" w:themeColor="text1"/>
        <w:left w:val="single" w:sz="4" w:space="0" w:color="09181B" w:themeColor="text1"/>
        <w:bottom w:val="single" w:sz="4" w:space="0" w:color="09181B" w:themeColor="text1"/>
        <w:right w:val="single" w:sz="4" w:space="0" w:color="09181B" w:themeColor="text1"/>
        <w:insideH w:val="single" w:sz="4" w:space="0" w:color="09181B" w:themeColor="text1"/>
        <w:insideV w:val="single" w:sz="4" w:space="0" w:color="09181B" w:themeColor="text1"/>
      </w:tblBorders>
      <w:tblCellMar>
        <w:top w:w="108" w:type="dxa"/>
        <w:bottom w:w="108" w:type="dxa"/>
      </w:tblCellMar>
    </w:tblPr>
    <w:tcPr>
      <w:vAlign w:val="center"/>
    </w:tcPr>
  </w:style>
  <w:style w:type="paragraph" w:styleId="Lgende">
    <w:name w:val="caption"/>
    <w:basedOn w:val="Normal"/>
    <w:next w:val="Normal"/>
    <w:uiPriority w:val="69"/>
    <w:semiHidden/>
    <w:unhideWhenUsed/>
    <w:qFormat/>
    <w:rsid w:val="008B3E7B"/>
    <w:pPr>
      <w:spacing w:after="200" w:line="240" w:lineRule="auto"/>
    </w:pPr>
    <w:rPr>
      <w:rFonts w:ascii="Open Sans Light" w:hAnsi="Open Sans Light"/>
      <w:iCs/>
      <w:color w:val="535D5F"/>
      <w:sz w:val="18"/>
      <w:szCs w:val="18"/>
    </w:rPr>
  </w:style>
  <w:style w:type="character" w:styleId="Numrodepage">
    <w:name w:val="page number"/>
    <w:basedOn w:val="Policepardfaut"/>
    <w:uiPriority w:val="99"/>
    <w:semiHidden/>
    <w:unhideWhenUsed/>
    <w:rsid w:val="00291D00"/>
    <w:rPr>
      <w:rFonts w:asciiTheme="minorHAnsi" w:hAnsiTheme="minorHAnsi"/>
      <w:b w:val="0"/>
      <w:i w:val="0"/>
      <w:sz w:val="21"/>
    </w:rPr>
  </w:style>
  <w:style w:type="paragraph" w:styleId="Listepuces">
    <w:name w:val="List Bullet"/>
    <w:basedOn w:val="Normal"/>
    <w:uiPriority w:val="40"/>
    <w:unhideWhenUsed/>
    <w:qFormat/>
    <w:rsid w:val="00E57CF7"/>
    <w:pPr>
      <w:numPr>
        <w:numId w:val="10"/>
      </w:numPr>
      <w:ind w:left="357" w:hanging="357"/>
      <w:contextualSpacing/>
    </w:pPr>
  </w:style>
  <w:style w:type="paragraph" w:styleId="Listepuces2">
    <w:name w:val="List Bullet 2"/>
    <w:basedOn w:val="Normal"/>
    <w:uiPriority w:val="99"/>
    <w:semiHidden/>
    <w:rsid w:val="003E0471"/>
    <w:pPr>
      <w:numPr>
        <w:numId w:val="9"/>
      </w:numPr>
      <w:contextualSpacing/>
    </w:pPr>
  </w:style>
  <w:style w:type="paragraph" w:styleId="Listenumros">
    <w:name w:val="List Number"/>
    <w:basedOn w:val="Normal"/>
    <w:uiPriority w:val="40"/>
    <w:unhideWhenUsed/>
    <w:rsid w:val="003E0471"/>
    <w:pPr>
      <w:numPr>
        <w:numId w:val="5"/>
      </w:numPr>
      <w:contextualSpacing/>
    </w:pPr>
  </w:style>
  <w:style w:type="paragraph" w:styleId="Listenumros2">
    <w:name w:val="List Number 2"/>
    <w:basedOn w:val="Normal"/>
    <w:uiPriority w:val="99"/>
    <w:semiHidden/>
    <w:rsid w:val="003E0471"/>
    <w:pPr>
      <w:numPr>
        <w:numId w:val="4"/>
      </w:numPr>
      <w:contextualSpacing/>
    </w:pPr>
  </w:style>
  <w:style w:type="paragraph" w:styleId="TM1">
    <w:name w:val="toc 1"/>
    <w:basedOn w:val="Normal"/>
    <w:next w:val="Normal"/>
    <w:uiPriority w:val="39"/>
    <w:unhideWhenUsed/>
    <w:rsid w:val="00CD028C"/>
    <w:pPr>
      <w:spacing w:before="360" w:after="0"/>
    </w:pPr>
    <w:rPr>
      <w:rFonts w:cs="Times New Roman (Body CS)"/>
      <w:b/>
      <w:bCs/>
    </w:rPr>
  </w:style>
  <w:style w:type="paragraph" w:styleId="TM2">
    <w:name w:val="toc 2"/>
    <w:basedOn w:val="Normal"/>
    <w:next w:val="Normal"/>
    <w:uiPriority w:val="39"/>
    <w:unhideWhenUsed/>
    <w:rsid w:val="0065746C"/>
    <w:pPr>
      <w:tabs>
        <w:tab w:val="right" w:pos="9628"/>
      </w:tabs>
      <w:spacing w:before="240" w:after="240"/>
      <w:ind w:left="210"/>
    </w:pPr>
    <w:rPr>
      <w:rFonts w:cs="Open Sans (Body)"/>
      <w:b/>
      <w:bCs/>
      <w:noProof/>
      <w:szCs w:val="20"/>
    </w:rPr>
  </w:style>
  <w:style w:type="paragraph" w:styleId="TM3">
    <w:name w:val="toc 3"/>
    <w:basedOn w:val="Normal"/>
    <w:next w:val="Normal"/>
    <w:uiPriority w:val="39"/>
    <w:unhideWhenUsed/>
    <w:rsid w:val="00AF2820"/>
    <w:pPr>
      <w:spacing w:after="0"/>
      <w:ind w:left="210"/>
    </w:pPr>
    <w:rPr>
      <w:rFonts w:cstheme="minorHAnsi"/>
      <w:szCs w:val="20"/>
    </w:rPr>
  </w:style>
  <w:style w:type="paragraph" w:styleId="TM4">
    <w:name w:val="toc 4"/>
    <w:basedOn w:val="Normal"/>
    <w:next w:val="Normal"/>
    <w:uiPriority w:val="35"/>
    <w:unhideWhenUsed/>
    <w:rsid w:val="00CD028C"/>
    <w:pPr>
      <w:tabs>
        <w:tab w:val="right" w:pos="9628"/>
      </w:tabs>
      <w:spacing w:after="0"/>
      <w:ind w:left="420"/>
    </w:pPr>
    <w:rPr>
      <w:rFonts w:cs="Open Sans (Body)"/>
      <w:noProof/>
      <w:color w:val="535D5F"/>
      <w:szCs w:val="20"/>
    </w:rPr>
  </w:style>
  <w:style w:type="paragraph" w:styleId="TM5">
    <w:name w:val="toc 5"/>
    <w:basedOn w:val="Normal"/>
    <w:next w:val="Normal"/>
    <w:autoRedefine/>
    <w:uiPriority w:val="35"/>
    <w:semiHidden/>
    <w:rsid w:val="008A014D"/>
    <w:pPr>
      <w:spacing w:after="0"/>
      <w:ind w:left="630"/>
    </w:pPr>
    <w:rPr>
      <w:rFonts w:cstheme="minorHAnsi"/>
      <w:sz w:val="20"/>
      <w:szCs w:val="20"/>
    </w:rPr>
  </w:style>
  <w:style w:type="paragraph" w:styleId="TM6">
    <w:name w:val="toc 6"/>
    <w:basedOn w:val="Normal"/>
    <w:next w:val="Normal"/>
    <w:autoRedefine/>
    <w:uiPriority w:val="35"/>
    <w:semiHidden/>
    <w:rsid w:val="008A014D"/>
    <w:pPr>
      <w:spacing w:after="0"/>
      <w:ind w:left="840"/>
    </w:pPr>
    <w:rPr>
      <w:rFonts w:cstheme="minorHAnsi"/>
      <w:sz w:val="20"/>
      <w:szCs w:val="20"/>
    </w:rPr>
  </w:style>
  <w:style w:type="paragraph" w:styleId="TM7">
    <w:name w:val="toc 7"/>
    <w:basedOn w:val="Normal"/>
    <w:next w:val="Normal"/>
    <w:autoRedefine/>
    <w:uiPriority w:val="35"/>
    <w:semiHidden/>
    <w:rsid w:val="008A014D"/>
    <w:pPr>
      <w:spacing w:after="0"/>
      <w:ind w:left="1050"/>
    </w:pPr>
    <w:rPr>
      <w:rFonts w:cstheme="minorHAnsi"/>
      <w:sz w:val="20"/>
      <w:szCs w:val="20"/>
    </w:rPr>
  </w:style>
  <w:style w:type="paragraph" w:styleId="TM8">
    <w:name w:val="toc 8"/>
    <w:basedOn w:val="Normal"/>
    <w:next w:val="Normal"/>
    <w:autoRedefine/>
    <w:uiPriority w:val="35"/>
    <w:semiHidden/>
    <w:rsid w:val="008A014D"/>
    <w:pPr>
      <w:spacing w:after="0"/>
      <w:ind w:left="1260"/>
    </w:pPr>
    <w:rPr>
      <w:rFonts w:cstheme="minorHAnsi"/>
      <w:sz w:val="20"/>
      <w:szCs w:val="20"/>
    </w:rPr>
  </w:style>
  <w:style w:type="paragraph" w:styleId="TM9">
    <w:name w:val="toc 9"/>
    <w:basedOn w:val="Normal"/>
    <w:next w:val="Normal"/>
    <w:autoRedefine/>
    <w:uiPriority w:val="35"/>
    <w:semiHidden/>
    <w:rsid w:val="008A014D"/>
    <w:pPr>
      <w:spacing w:after="0"/>
      <w:ind w:left="1470"/>
    </w:pPr>
    <w:rPr>
      <w:rFonts w:cstheme="minorHAnsi"/>
      <w:sz w:val="20"/>
      <w:szCs w:val="20"/>
    </w:rPr>
  </w:style>
  <w:style w:type="character" w:styleId="Lienhypertexte">
    <w:name w:val="Hyperlink"/>
    <w:basedOn w:val="Policepardfaut"/>
    <w:uiPriority w:val="99"/>
    <w:rsid w:val="008A014D"/>
    <w:rPr>
      <w:color w:val="057A8B" w:themeColor="hyperlink"/>
      <w:u w:val="single"/>
    </w:rPr>
  </w:style>
  <w:style w:type="paragraph" w:customStyle="1" w:styleId="Manuscrit">
    <w:name w:val="Manuscrit"/>
    <w:basedOn w:val="Normal"/>
    <w:next w:val="Normal"/>
    <w:uiPriority w:val="22"/>
    <w:qFormat/>
    <w:rsid w:val="00C81F1C"/>
    <w:rPr>
      <w:rFonts w:ascii="PECITA" w:eastAsia="PECITA" w:hAnsi="PECITA" w:cs="Times New Roman (Body CS)"/>
      <w:sz w:val="24"/>
      <w14:ligatures w14:val="all"/>
    </w:rPr>
  </w:style>
  <w:style w:type="character" w:styleId="Mentionnonrsolue">
    <w:name w:val="Unresolved Mention"/>
    <w:basedOn w:val="Policepardfaut"/>
    <w:uiPriority w:val="99"/>
    <w:semiHidden/>
    <w:unhideWhenUsed/>
    <w:rsid w:val="00C35F6F"/>
    <w:rPr>
      <w:rFonts w:asciiTheme="minorHAnsi" w:hAnsiTheme="minorHAnsi"/>
      <w:b w:val="0"/>
      <w:i w:val="0"/>
      <w:color w:val="605E5C"/>
      <w:sz w:val="21"/>
      <w:shd w:val="clear" w:color="auto" w:fill="E1DFDD"/>
    </w:rPr>
  </w:style>
  <w:style w:type="table" w:customStyle="1" w:styleId="BasicTable">
    <w:name w:val="Basic Table"/>
    <w:basedOn w:val="TableauNormal"/>
    <w:uiPriority w:val="99"/>
    <w:rsid w:val="004412D1"/>
    <w:rPr>
      <w:sz w:val="21"/>
    </w:rPr>
    <w:tblPr>
      <w:tblBorders>
        <w:top w:val="single" w:sz="8" w:space="0" w:color="057A8B" w:themeColor="text2"/>
        <w:left w:val="single" w:sz="8" w:space="0" w:color="057A8B" w:themeColor="text2"/>
        <w:bottom w:val="single" w:sz="8" w:space="0" w:color="057A8B" w:themeColor="text2"/>
        <w:right w:val="single" w:sz="8" w:space="0" w:color="057A8B" w:themeColor="text2"/>
        <w:insideH w:val="single" w:sz="4" w:space="0" w:color="B6E7DD" w:themeColor="accent5"/>
        <w:insideV w:val="single" w:sz="4" w:space="0" w:color="B6E7DD" w:themeColor="accent5"/>
      </w:tblBorders>
      <w:tblCellMar>
        <w:top w:w="147" w:type="dxa"/>
        <w:left w:w="147" w:type="dxa"/>
        <w:bottom w:w="147" w:type="dxa"/>
        <w:right w:w="147" w:type="dxa"/>
      </w:tblCellMar>
    </w:tblPr>
    <w:tcPr>
      <w:vAlign w:val="center"/>
    </w:tcPr>
    <w:tblStylePr w:type="firstRow">
      <w:rPr>
        <w:b/>
      </w:rPr>
      <w:tblPr/>
      <w:tcPr>
        <w:tcBorders>
          <w:top w:val="single" w:sz="8" w:space="0" w:color="057A8B" w:themeColor="text2"/>
          <w:left w:val="single" w:sz="8" w:space="0" w:color="057A8B" w:themeColor="text2"/>
          <w:bottom w:val="single" w:sz="8" w:space="0" w:color="057A8B" w:themeColor="text2"/>
          <w:right w:val="single" w:sz="8" w:space="0" w:color="057A8B" w:themeColor="text2"/>
          <w:insideH w:val="single" w:sz="8" w:space="0" w:color="057A8B" w:themeColor="text2"/>
          <w:insideV w:val="single" w:sz="8" w:space="0" w:color="057A8B" w:themeColor="text2"/>
        </w:tcBorders>
      </w:tcPr>
    </w:tblStylePr>
    <w:tblStylePr w:type="firstCol">
      <w:rPr>
        <w:b/>
      </w:rPr>
      <w:tblPr>
        <w:tblCellMar>
          <w:top w:w="113" w:type="dxa"/>
          <w:left w:w="113" w:type="dxa"/>
          <w:bottom w:w="113" w:type="dxa"/>
          <w:right w:w="113" w:type="dxa"/>
        </w:tblCellMar>
      </w:tblPr>
      <w:tcPr>
        <w:tcBorders>
          <w:top w:val="single" w:sz="8" w:space="0" w:color="057A8B" w:themeColor="text2"/>
          <w:left w:val="single" w:sz="8" w:space="0" w:color="057A8B" w:themeColor="text2"/>
          <w:bottom w:val="single" w:sz="8" w:space="0" w:color="057A8B" w:themeColor="text2"/>
          <w:right w:val="single" w:sz="8" w:space="0" w:color="057A8B" w:themeColor="text2"/>
          <w:insideH w:val="single" w:sz="8" w:space="0" w:color="057A8B" w:themeColor="text2"/>
          <w:insideV w:val="single" w:sz="8" w:space="0" w:color="057A8B" w:themeColor="text2"/>
        </w:tcBorders>
      </w:tcPr>
    </w:tblStylePr>
  </w:style>
  <w:style w:type="character" w:styleId="Accentuationlgre">
    <w:name w:val="Subtle Emphasis"/>
    <w:basedOn w:val="Policepardfaut"/>
    <w:uiPriority w:val="39"/>
    <w:semiHidden/>
    <w:rsid w:val="00F63D50"/>
    <w:rPr>
      <w:i/>
      <w:iCs/>
      <w:color w:val="266674" w:themeColor="text1" w:themeTint="BF"/>
    </w:rPr>
  </w:style>
  <w:style w:type="character" w:styleId="Rfrencelgre">
    <w:name w:val="Subtle Reference"/>
    <w:basedOn w:val="Policepardfaut"/>
    <w:uiPriority w:val="39"/>
    <w:semiHidden/>
    <w:rsid w:val="00F63D50"/>
    <w:rPr>
      <w:smallCaps/>
      <w:color w:val="328798" w:themeColor="text1" w:themeTint="A5"/>
    </w:rPr>
  </w:style>
  <w:style w:type="character" w:styleId="Rfrenceintense">
    <w:name w:val="Intense Reference"/>
    <w:basedOn w:val="Policepardfaut"/>
    <w:uiPriority w:val="39"/>
    <w:semiHidden/>
    <w:rsid w:val="00F63D50"/>
    <w:rPr>
      <w:b/>
      <w:bCs/>
      <w:smallCaps/>
      <w:color w:val="00566B" w:themeColor="accent1"/>
      <w:spacing w:val="5"/>
    </w:rPr>
  </w:style>
  <w:style w:type="paragraph" w:styleId="Notedefin">
    <w:name w:val="endnote text"/>
    <w:basedOn w:val="Normal"/>
    <w:link w:val="NotedefinCar"/>
    <w:uiPriority w:val="38"/>
    <w:semiHidden/>
    <w:unhideWhenUsed/>
    <w:rsid w:val="00B978B4"/>
    <w:pPr>
      <w:spacing w:after="120" w:line="240" w:lineRule="auto"/>
    </w:pPr>
    <w:rPr>
      <w:szCs w:val="20"/>
    </w:rPr>
  </w:style>
  <w:style w:type="character" w:customStyle="1" w:styleId="NotedefinCar">
    <w:name w:val="Note de fin Car"/>
    <w:basedOn w:val="Policepardfaut"/>
    <w:link w:val="Notedefin"/>
    <w:uiPriority w:val="38"/>
    <w:semiHidden/>
    <w:rsid w:val="00B978B4"/>
    <w:rPr>
      <w:sz w:val="21"/>
      <w:szCs w:val="20"/>
      <w:lang w:val="nl-NL"/>
    </w:rPr>
  </w:style>
  <w:style w:type="character" w:styleId="Appeldenotedefin">
    <w:name w:val="endnote reference"/>
    <w:basedOn w:val="Policepardfaut"/>
    <w:uiPriority w:val="38"/>
    <w:semiHidden/>
    <w:unhideWhenUsed/>
    <w:rsid w:val="00B978B4"/>
    <w:rPr>
      <w:b/>
      <w:color w:val="057A8B" w:themeColor="text2"/>
      <w:vertAlign w:val="superscript"/>
    </w:rPr>
  </w:style>
  <w:style w:type="character" w:styleId="Appelnotedebasdep">
    <w:name w:val="footnote reference"/>
    <w:basedOn w:val="Policepardfaut"/>
    <w:uiPriority w:val="99"/>
    <w:unhideWhenUsed/>
    <w:rsid w:val="00B978B4"/>
    <w:rPr>
      <w:b/>
      <w:color w:val="057A8B" w:themeColor="text2"/>
      <w:vertAlign w:val="superscript"/>
    </w:rPr>
  </w:style>
  <w:style w:type="paragraph" w:styleId="Notedebasdepage">
    <w:name w:val="footnote text"/>
    <w:basedOn w:val="Normal"/>
    <w:link w:val="NotedebasdepageCar"/>
    <w:uiPriority w:val="99"/>
    <w:unhideWhenUsed/>
    <w:rsid w:val="00B978B4"/>
    <w:pPr>
      <w:spacing w:after="0" w:line="240" w:lineRule="auto"/>
    </w:pPr>
    <w:rPr>
      <w:color w:val="535D5F"/>
      <w:sz w:val="16"/>
      <w:szCs w:val="20"/>
    </w:rPr>
  </w:style>
  <w:style w:type="character" w:customStyle="1" w:styleId="NotedebasdepageCar">
    <w:name w:val="Note de bas de page Car"/>
    <w:basedOn w:val="Policepardfaut"/>
    <w:link w:val="Notedebasdepage"/>
    <w:uiPriority w:val="99"/>
    <w:rsid w:val="00B978B4"/>
    <w:rPr>
      <w:color w:val="535D5F"/>
      <w:sz w:val="16"/>
      <w:szCs w:val="20"/>
      <w:lang w:val="nl-NL"/>
    </w:rPr>
  </w:style>
  <w:style w:type="character" w:styleId="Lienhypertextesuivivisit">
    <w:name w:val="FollowedHyperlink"/>
    <w:basedOn w:val="Policepardfaut"/>
    <w:uiPriority w:val="99"/>
    <w:semiHidden/>
    <w:unhideWhenUsed/>
    <w:rsid w:val="002B7F94"/>
    <w:rPr>
      <w:color w:val="00566B" w:themeColor="followedHyperlink"/>
      <w:u w:val="single"/>
    </w:rPr>
  </w:style>
  <w:style w:type="character" w:styleId="Textedelespacerserv">
    <w:name w:val="Placeholder Text"/>
    <w:basedOn w:val="Policepardfaut"/>
    <w:uiPriority w:val="99"/>
    <w:unhideWhenUsed/>
    <w:rsid w:val="00F873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68712">
      <w:bodyDiv w:val="1"/>
      <w:marLeft w:val="0"/>
      <w:marRight w:val="0"/>
      <w:marTop w:val="0"/>
      <w:marBottom w:val="0"/>
      <w:divBdr>
        <w:top w:val="none" w:sz="0" w:space="0" w:color="auto"/>
        <w:left w:val="none" w:sz="0" w:space="0" w:color="auto"/>
        <w:bottom w:val="none" w:sz="0" w:space="0" w:color="auto"/>
        <w:right w:val="none" w:sz="0" w:space="0" w:color="auto"/>
      </w:divBdr>
    </w:div>
    <w:div w:id="315651532">
      <w:bodyDiv w:val="1"/>
      <w:marLeft w:val="0"/>
      <w:marRight w:val="0"/>
      <w:marTop w:val="0"/>
      <w:marBottom w:val="0"/>
      <w:divBdr>
        <w:top w:val="none" w:sz="0" w:space="0" w:color="auto"/>
        <w:left w:val="none" w:sz="0" w:space="0" w:color="auto"/>
        <w:bottom w:val="none" w:sz="0" w:space="0" w:color="auto"/>
        <w:right w:val="none" w:sz="0" w:space="0" w:color="auto"/>
      </w:divBdr>
    </w:div>
    <w:div w:id="705105936">
      <w:bodyDiv w:val="1"/>
      <w:marLeft w:val="0"/>
      <w:marRight w:val="0"/>
      <w:marTop w:val="0"/>
      <w:marBottom w:val="0"/>
      <w:divBdr>
        <w:top w:val="none" w:sz="0" w:space="0" w:color="auto"/>
        <w:left w:val="none" w:sz="0" w:space="0" w:color="auto"/>
        <w:bottom w:val="none" w:sz="0" w:space="0" w:color="auto"/>
        <w:right w:val="none" w:sz="0" w:space="0" w:color="auto"/>
      </w:divBdr>
    </w:div>
    <w:div w:id="730037636">
      <w:bodyDiv w:val="1"/>
      <w:marLeft w:val="0"/>
      <w:marRight w:val="0"/>
      <w:marTop w:val="0"/>
      <w:marBottom w:val="0"/>
      <w:divBdr>
        <w:top w:val="none" w:sz="0" w:space="0" w:color="auto"/>
        <w:left w:val="none" w:sz="0" w:space="0" w:color="auto"/>
        <w:bottom w:val="none" w:sz="0" w:space="0" w:color="auto"/>
        <w:right w:val="none" w:sz="0" w:space="0" w:color="auto"/>
      </w:divBdr>
      <w:divsChild>
        <w:div w:id="1422411742">
          <w:marLeft w:val="0"/>
          <w:marRight w:val="0"/>
          <w:marTop w:val="0"/>
          <w:marBottom w:val="0"/>
          <w:divBdr>
            <w:top w:val="single" w:sz="2" w:space="0" w:color="E5E7EB"/>
            <w:left w:val="single" w:sz="2" w:space="0" w:color="E5E7EB"/>
            <w:bottom w:val="single" w:sz="2" w:space="0" w:color="E5E7EB"/>
            <w:right w:val="single" w:sz="2" w:space="0" w:color="E5E7EB"/>
          </w:divBdr>
          <w:divsChild>
            <w:div w:id="74206606">
              <w:marLeft w:val="0"/>
              <w:marRight w:val="0"/>
              <w:marTop w:val="0"/>
              <w:marBottom w:val="0"/>
              <w:divBdr>
                <w:top w:val="single" w:sz="2" w:space="0" w:color="E5E7EB"/>
                <w:left w:val="single" w:sz="2" w:space="0" w:color="E5E7EB"/>
                <w:bottom w:val="single" w:sz="2" w:space="0" w:color="E5E7EB"/>
                <w:right w:val="single" w:sz="2" w:space="0" w:color="E5E7EB"/>
              </w:divBdr>
              <w:divsChild>
                <w:div w:id="950890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37641155">
      <w:bodyDiv w:val="1"/>
      <w:marLeft w:val="0"/>
      <w:marRight w:val="0"/>
      <w:marTop w:val="0"/>
      <w:marBottom w:val="0"/>
      <w:divBdr>
        <w:top w:val="none" w:sz="0" w:space="0" w:color="auto"/>
        <w:left w:val="none" w:sz="0" w:space="0" w:color="auto"/>
        <w:bottom w:val="none" w:sz="0" w:space="0" w:color="auto"/>
        <w:right w:val="none" w:sz="0" w:space="0" w:color="auto"/>
      </w:divBdr>
      <w:divsChild>
        <w:div w:id="617181238">
          <w:marLeft w:val="0"/>
          <w:marRight w:val="0"/>
          <w:marTop w:val="0"/>
          <w:marBottom w:val="0"/>
          <w:divBdr>
            <w:top w:val="single" w:sz="2" w:space="0" w:color="E5E7EB"/>
            <w:left w:val="single" w:sz="2" w:space="0" w:color="E5E7EB"/>
            <w:bottom w:val="single" w:sz="2" w:space="0" w:color="E5E7EB"/>
            <w:right w:val="single" w:sz="2" w:space="0" w:color="E5E7EB"/>
          </w:divBdr>
          <w:divsChild>
            <w:div w:id="179785124">
              <w:marLeft w:val="0"/>
              <w:marRight w:val="0"/>
              <w:marTop w:val="0"/>
              <w:marBottom w:val="0"/>
              <w:divBdr>
                <w:top w:val="single" w:sz="2" w:space="0" w:color="E5E7EB"/>
                <w:left w:val="single" w:sz="2" w:space="0" w:color="E5E7EB"/>
                <w:bottom w:val="single" w:sz="2" w:space="0" w:color="E5E7EB"/>
                <w:right w:val="single" w:sz="2" w:space="0" w:color="E5E7EB"/>
              </w:divBdr>
              <w:divsChild>
                <w:div w:id="378937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8391806">
      <w:bodyDiv w:val="1"/>
      <w:marLeft w:val="0"/>
      <w:marRight w:val="0"/>
      <w:marTop w:val="0"/>
      <w:marBottom w:val="0"/>
      <w:divBdr>
        <w:top w:val="none" w:sz="0" w:space="0" w:color="auto"/>
        <w:left w:val="none" w:sz="0" w:space="0" w:color="auto"/>
        <w:bottom w:val="none" w:sz="0" w:space="0" w:color="auto"/>
        <w:right w:val="none" w:sz="0" w:space="0" w:color="auto"/>
      </w:divBdr>
    </w:div>
    <w:div w:id="1253467741">
      <w:bodyDiv w:val="1"/>
      <w:marLeft w:val="0"/>
      <w:marRight w:val="0"/>
      <w:marTop w:val="0"/>
      <w:marBottom w:val="0"/>
      <w:divBdr>
        <w:top w:val="none" w:sz="0" w:space="0" w:color="auto"/>
        <w:left w:val="none" w:sz="0" w:space="0" w:color="auto"/>
        <w:bottom w:val="none" w:sz="0" w:space="0" w:color="auto"/>
        <w:right w:val="none" w:sz="0" w:space="0" w:color="auto"/>
      </w:divBdr>
    </w:div>
    <w:div w:id="1528828816">
      <w:bodyDiv w:val="1"/>
      <w:marLeft w:val="0"/>
      <w:marRight w:val="0"/>
      <w:marTop w:val="0"/>
      <w:marBottom w:val="0"/>
      <w:divBdr>
        <w:top w:val="none" w:sz="0" w:space="0" w:color="auto"/>
        <w:left w:val="none" w:sz="0" w:space="0" w:color="auto"/>
        <w:bottom w:val="none" w:sz="0" w:space="0" w:color="auto"/>
        <w:right w:val="none" w:sz="0" w:space="0" w:color="auto"/>
      </w:divBdr>
    </w:div>
    <w:div w:id="1846044795">
      <w:bodyDiv w:val="1"/>
      <w:marLeft w:val="0"/>
      <w:marRight w:val="0"/>
      <w:marTop w:val="0"/>
      <w:marBottom w:val="0"/>
      <w:divBdr>
        <w:top w:val="none" w:sz="0" w:space="0" w:color="auto"/>
        <w:left w:val="none" w:sz="0" w:space="0" w:color="auto"/>
        <w:bottom w:val="none" w:sz="0" w:space="0" w:color="auto"/>
        <w:right w:val="none" w:sz="0" w:space="0" w:color="auto"/>
      </w:divBdr>
    </w:div>
    <w:div w:id="19789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PH@bosa.fgo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justice.just.fgov.be/cgi_loi/change_lg.pl?language=fr&amp;la=F&amp;cn=2005100633&amp;table_name=lo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un.org/disabilities/documents/convention/convoptprot-f.pdf" TargetMode="External"/><Relationship Id="rId13" Type="http://schemas.openxmlformats.org/officeDocument/2006/relationships/hyperlink" Target="https://telquel.ma/instant-t/2024/10/18/selon-aawatif-hayar-1250-fonctionnaires-etaient-en-situation-de-handicap-en-2024_1899461/" TargetMode="External"/><Relationship Id="rId3" Type="http://schemas.openxmlformats.org/officeDocument/2006/relationships/hyperlink" Target="https://www.ejustice.just.fgov.be/eli/arrete/2013/12/15/2013022638/justel" TargetMode="External"/><Relationship Id="rId7" Type="http://schemas.openxmlformats.org/officeDocument/2006/relationships/hyperlink" Target="https://bosa.belgium.be/sites/default/files/content/documents/Rapport_CIPH_2024_FR.pdf" TargetMode="External"/><Relationship Id="rId12" Type="http://schemas.openxmlformats.org/officeDocument/2006/relationships/hyperlink" Target="https://www.ejustice.just.fgov.be/cgi/article.pl?language=fr&amp;sum_date=2024-05-21&amp;dt=Arr%EAt%E9+minist%E9riel&amp;bron=Service+Public+F%E9d%E9ral+Strat%E9gie+et+Appui&amp;pdd=2024-05-21&amp;pdf=2024-05-21&amp;choix1=et&amp;choix2=et&amp;fr=f&amp;nl=n&amp;du=d&amp;trier=promulgation&amp;lg_txt=f&amp;pd_search=2024-05-21&amp;s_editie=&amp;numac_search=2024004618&amp;caller=list&amp;2024004618=0&amp;view_numac=2024004618nx2024004618f" TargetMode="External"/><Relationship Id="rId2" Type="http://schemas.openxmlformats.org/officeDocument/2006/relationships/hyperlink" Target="https://www.inami.fgov.be/SiteCollectionDocuments/Loi19940714-titre-III.pdf" TargetMode="External"/><Relationship Id="rId1" Type="http://schemas.openxmlformats.org/officeDocument/2006/relationships/hyperlink" Target="https://www.ejustice.just.fgov.be/cgi/article.pl?language=fr&amp;sum_date=2025-08-05&amp;pd_search=2012-12-31&amp;numac_search=2012022488&amp;page=1&amp;lg_txt=F&amp;caller=list&amp;2012022488=0&amp;view_numac=&amp;dt=Loi&amp;pdd=2012-12-31&amp;choix1=et&amp;choix2=et&amp;fr=f&amp;nl=n&amp;du=d&amp;trier=promulgation" TargetMode="External"/><Relationship Id="rId6" Type="http://schemas.openxmlformats.org/officeDocument/2006/relationships/hyperlink" Target="https://www.un.org/disabilities/documents/convention/convoptprot-f.pdf" TargetMode="External"/><Relationship Id="rId11" Type="http://schemas.openxmlformats.org/officeDocument/2006/relationships/hyperlink" Target="https://bosa.belgium.be/sites/default/files/content/documents/Tableau%20Stages%20Handicap.pdf" TargetMode="External"/><Relationship Id="rId5" Type="http://schemas.openxmlformats.org/officeDocument/2006/relationships/hyperlink" Target="https://www.vlaanderen.be/dienst-diversiteitsbeleid/personeelsleden-met-een-handicap-inclusief-chronische-ziekte" TargetMode="External"/><Relationship Id="rId15" Type="http://schemas.openxmlformats.org/officeDocument/2006/relationships/hyperlink" Target="https://www.radiookapi.net/2025/05/09/actualite/societe/rdc-1-200-personnes-en-situation-de-handicap-integrent-ladministration" TargetMode="External"/><Relationship Id="rId10" Type="http://schemas.openxmlformats.org/officeDocument/2006/relationships/hyperlink" Target="https://statbel.fgov.be/fr/themes/emploi-formation/marche-du-travail/le-travail-temps-partiel" TargetMode="External"/><Relationship Id="rId4" Type="http://schemas.openxmlformats.org/officeDocument/2006/relationships/hyperlink" Target="https://www.raadvst-consetat.be/dbx/avis/75870.pdf" TargetMode="External"/><Relationship Id="rId9" Type="http://schemas.openxmlformats.org/officeDocument/2006/relationships/hyperlink" Target="https://igvm-iefh.belgium.be/fr/themes/gender-mainstreaming/legislation" TargetMode="External"/><Relationship Id="rId14" Type="http://schemas.openxmlformats.org/officeDocument/2006/relationships/hyperlink" Target="https://lematin.ma/nation/le-nombre-des-fonctionnaires-en-situation-de-handicap-atteint-1250-en-2024/24770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gcloudbelgium.sharepoint.com/sites/GCloudCentral/BOSA/BOSA%20O365%20Word%20template%20FR%20final.dotx" TargetMode="External"/></Relationships>
</file>

<file path=word/theme/theme1.xml><?xml version="1.0" encoding="utf-8"?>
<a:theme xmlns:a="http://schemas.openxmlformats.org/drawingml/2006/main" name="BOSA O365 Theme">
  <a:themeElements>
    <a:clrScheme name="BOSA 0365">
      <a:dk1>
        <a:srgbClr val="09181B"/>
      </a:dk1>
      <a:lt1>
        <a:srgbClr val="FFFFFF"/>
      </a:lt1>
      <a:dk2>
        <a:srgbClr val="057A8B"/>
      </a:dk2>
      <a:lt2>
        <a:srgbClr val="FFF8DC"/>
      </a:lt2>
      <a:accent1>
        <a:srgbClr val="00566B"/>
      </a:accent1>
      <a:accent2>
        <a:srgbClr val="FFED75"/>
      </a:accent2>
      <a:accent3>
        <a:srgbClr val="2CB8A5"/>
      </a:accent3>
      <a:accent4>
        <a:srgbClr val="FC6D71"/>
      </a:accent4>
      <a:accent5>
        <a:srgbClr val="B6E7DD"/>
      </a:accent5>
      <a:accent6>
        <a:srgbClr val="F8D7BC"/>
      </a:accent6>
      <a:hlink>
        <a:srgbClr val="057A8B"/>
      </a:hlink>
      <a:folHlink>
        <a:srgbClr val="00566B"/>
      </a:folHlink>
    </a:clrScheme>
    <a:fontScheme name="BOSA Theme Fonts">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E5A8B7B0463E4AB01A5B03AF9CDC4A" ma:contentTypeVersion="13" ma:contentTypeDescription="Create a new document." ma:contentTypeScope="" ma:versionID="01416e430edc6e59ff3ca1b331cd1784">
  <xsd:schema xmlns:xsd="http://www.w3.org/2001/XMLSchema" xmlns:xs="http://www.w3.org/2001/XMLSchema" xmlns:p="http://schemas.microsoft.com/office/2006/metadata/properties" xmlns:ns2="a59a9764-bad5-4bc5-967e-cfbb499e1310" xmlns:ns3="ec37b7c2-269f-4cdc-ae4b-d673de952f7a" xmlns:ns4="5b26e092-a5e1-4a19-b23b-bd2c45f041fa" targetNamespace="http://schemas.microsoft.com/office/2006/metadata/properties" ma:root="true" ma:fieldsID="44d1a62acdc87f2c87f2bf77edb84c69" ns2:_="" ns3:_="" ns4:_="">
    <xsd:import namespace="a59a9764-bad5-4bc5-967e-cfbb499e1310"/>
    <xsd:import namespace="ec37b7c2-269f-4cdc-ae4b-d673de952f7a"/>
    <xsd:import namespace="5b26e092-a5e1-4a19-b23b-bd2c45f041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9764-bad5-4bc5-967e-cfbb499e13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2b1cb87-8c99-4f61-a3af-7cd840b55faa}" ma:internalName="TaxCatchAll" ma:showField="CatchAllData" ma:web="a59a9764-bad5-4bc5-967e-cfbb499e13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37b7c2-269f-4cdc-ae4b-d673de952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6e092-a5e1-4a19-b23b-bd2c45f041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9a9764-bad5-4bc5-967e-cfbb499e1310" xsi:nil="true"/>
    <lcf76f155ced4ddcb4097134ff3c332f xmlns="ec37b7c2-269f-4cdc-ae4b-d673de952f7a">
      <Terms xmlns="http://schemas.microsoft.com/office/infopath/2007/PartnerControls"/>
    </lcf76f155ced4ddcb4097134ff3c332f>
    <_dlc_DocId xmlns="a59a9764-bad5-4bc5-967e-cfbb499e1310">MP6W6XQCA75H-1220425164-2347</_dlc_DocId>
    <_dlc_DocIdUrl xmlns="a59a9764-bad5-4bc5-967e-cfbb499e1310">
      <Url>https://gcloudbelgium.sharepoint.com/sites/BOSA-RORD/DI/_layouts/15/DocIdRedir.aspx?ID=MP6W6XQCA75H-1220425164-2347</Url>
      <Description>MP6W6XQCA75H-1220425164-2347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EBE5-5070-432F-A2FB-0BBF094F744E}">
  <ds:schemaRefs>
    <ds:schemaRef ds:uri="http://schemas.microsoft.com/sharepoint/events"/>
  </ds:schemaRefs>
</ds:datastoreItem>
</file>

<file path=customXml/itemProps2.xml><?xml version="1.0" encoding="utf-8"?>
<ds:datastoreItem xmlns:ds="http://schemas.openxmlformats.org/officeDocument/2006/customXml" ds:itemID="{A6D103DA-5283-44B8-A677-371A9948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9764-bad5-4bc5-967e-cfbb499e1310"/>
    <ds:schemaRef ds:uri="ec37b7c2-269f-4cdc-ae4b-d673de952f7a"/>
    <ds:schemaRef ds:uri="5b26e092-a5e1-4a19-b23b-bd2c45f04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9A94B-A9C5-4EC6-8992-82236EA409FD}">
  <ds:schemaRefs>
    <ds:schemaRef ds:uri="5b26e092-a5e1-4a19-b23b-bd2c45f041fa"/>
    <ds:schemaRef ds:uri="a59a9764-bad5-4bc5-967e-cfbb499e1310"/>
    <ds:schemaRef ds:uri="http://purl.org/dc/terms/"/>
    <ds:schemaRef ds:uri="ec37b7c2-269f-4cdc-ae4b-d673de952f7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67AFA9D-8B75-4253-93EB-F1437B68F388}">
  <ds:schemaRefs>
    <ds:schemaRef ds:uri="http://schemas.microsoft.com/sharepoint/v3/contenttype/forms"/>
  </ds:schemaRefs>
</ds:datastoreItem>
</file>

<file path=customXml/itemProps5.xml><?xml version="1.0" encoding="utf-8"?>
<ds:datastoreItem xmlns:ds="http://schemas.openxmlformats.org/officeDocument/2006/customXml" ds:itemID="{45B40A19-025A-8D47-9DA9-C3515AD37713}">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BOSA%20O365%20Word%20template%20FR%20final</Template>
  <TotalTime>0</TotalTime>
  <Pages>10</Pages>
  <Words>2810</Words>
  <Characters>15461</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BOSA - Word - template de base</vt:lpstr>
      <vt:lpstr>BOSA - Word - template de base</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BOSA - Word - template de base</dc:title>
  <dc:subject/>
  <dc:creator>Etienne Devaux</dc:creator>
  <cp:keywords/>
  <dc:description/>
  <cp:lastModifiedBy>Etienne Devaux (BOSA)</cp:lastModifiedBy>
  <cp:revision>422</cp:revision>
  <cp:lastPrinted>2021-08-20T10:18:00Z</cp:lastPrinted>
  <dcterms:created xsi:type="dcterms:W3CDTF">2025-08-07T11:49:00Z</dcterms:created>
  <dcterms:modified xsi:type="dcterms:W3CDTF">2025-08-14T08:22:00Z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0x0101003BE5A8B7B0463E4AB01A5B03AF9CDC4A</vt:lpwstr>
  </property>
  <property fmtid="{D5CDD505-2E9C-101B-9397-08002B2CF9AE}" pid="3" name="ThemeFR">
    <vt:lpwstr>339;#Charte de style|3a13075a-f53c-44e4-9551-b10b77b7571b</vt:lpwstr>
  </property>
  <property fmtid="{D5CDD505-2E9C-101B-9397-08002B2CF9AE}" pid="4" name="_dlc_DocIdItemGuid">
    <vt:lpwstr>b4187a19-6865-4146-862f-983db4685aba</vt:lpwstr>
  </property>
  <property fmtid="{D5CDD505-2E9C-101B-9397-08002B2CF9AE}" pid="5" name="Focus">
    <vt:lpwstr/>
  </property>
  <property fmtid="{D5CDD505-2E9C-101B-9397-08002B2CF9AE}" pid="6" name="MediaServiceImageTags">
    <vt:lpwstr/>
  </property>
</Properties>
</file>